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BCC" w:rsidRDefault="00663BCC">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F4367A" w:rsidRDefault="00FD34CA" w:rsidP="00663BCC">
      <w:pPr>
        <w:pStyle w:val="CommentText"/>
      </w:pPr>
      <w:r>
        <w:rPr>
          <w:noProof/>
          <w:szCs w:val="24"/>
          <w:lang w:eastAsia="en-GB"/>
        </w:rPr>
        <mc:AlternateContent>
          <mc:Choice Requires="wps">
            <w:drawing>
              <wp:anchor distT="0" distB="0" distL="114300" distR="114300" simplePos="0" relativeHeight="251657728" behindDoc="0" locked="0" layoutInCell="1" allowOverlap="1" wp14:anchorId="7C02549D" wp14:editId="0074FEBB">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FDD" w:rsidRDefault="00EA2FDD">
                            <w:r>
                              <w:rPr>
                                <w:noProof/>
                                <w:lang w:eastAsia="en-GB"/>
                              </w:rPr>
                              <w:drawing>
                                <wp:inline distT="0" distB="0" distL="0" distR="0" wp14:anchorId="5B29FF3C" wp14:editId="75317A68">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EA2FDD" w:rsidRDefault="00EA2FDD">
                      <w:r>
                        <w:rPr>
                          <w:noProof/>
                          <w:lang w:eastAsia="en-GB"/>
                        </w:rPr>
                        <w:drawing>
                          <wp:inline distT="0" distB="0" distL="0" distR="0" wp14:anchorId="5B29FF3C" wp14:editId="75317A68">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Default="00F4367A">
      <w:pPr>
        <w:tabs>
          <w:tab w:val="left" w:pos="2160"/>
        </w:tabs>
        <w:rPr>
          <w:b/>
          <w:bCs/>
          <w:sz w:val="32"/>
          <w:u w:val="single"/>
        </w:rPr>
      </w:pPr>
      <w:r>
        <w:rPr>
          <w:b/>
          <w:bCs/>
          <w:sz w:val="32"/>
          <w:u w:val="single"/>
        </w:rPr>
        <w:t xml:space="preserve">                                                                             </w:t>
      </w:r>
    </w:p>
    <w:p w:rsidR="00F4367A" w:rsidRDefault="00F4367A">
      <w:pPr>
        <w:tabs>
          <w:tab w:val="left" w:pos="2160"/>
        </w:tabs>
        <w:rPr>
          <w:rFonts w:cs="Arial"/>
          <w:b/>
          <w:bCs/>
        </w:rPr>
      </w:pPr>
      <w:r>
        <w:rPr>
          <w:rFonts w:cs="Arial"/>
          <w:b/>
          <w:bCs/>
        </w:rPr>
        <w:t>To:</w:t>
      </w:r>
      <w:r w:rsidR="00EA2FDD">
        <w:rPr>
          <w:rFonts w:cs="Arial"/>
          <w:b/>
          <w:bCs/>
        </w:rPr>
        <w:tab/>
      </w:r>
      <w:r w:rsidR="00DA1441">
        <w:rPr>
          <w:rFonts w:cs="Arial"/>
          <w:b/>
          <w:bCs/>
        </w:rPr>
        <w:t>Audit &amp; Governance Committee</w:t>
      </w:r>
      <w:r>
        <w:rPr>
          <w:rFonts w:cs="Arial"/>
          <w:b/>
          <w:bCs/>
        </w:rPr>
        <w:tab/>
      </w:r>
    </w:p>
    <w:p w:rsidR="00F4367A" w:rsidRDefault="00F4367A">
      <w:pPr>
        <w:rPr>
          <w:rFonts w:cs="Arial"/>
          <w:b/>
          <w:bCs/>
        </w:rPr>
      </w:pPr>
    </w:p>
    <w:p w:rsidR="00F4367A" w:rsidRDefault="00F4367A">
      <w:pPr>
        <w:tabs>
          <w:tab w:val="left" w:pos="2160"/>
          <w:tab w:val="left" w:pos="6300"/>
          <w:tab w:val="left" w:pos="7380"/>
        </w:tabs>
        <w:rPr>
          <w:rFonts w:cs="Arial"/>
          <w:b/>
          <w:bCs/>
        </w:rPr>
      </w:pPr>
      <w:r>
        <w:rPr>
          <w:rFonts w:cs="Arial"/>
          <w:b/>
          <w:bCs/>
        </w:rPr>
        <w:t>Date:</w:t>
      </w:r>
      <w:r w:rsidR="00EA2FDD">
        <w:rPr>
          <w:rFonts w:cs="Arial"/>
          <w:b/>
          <w:bCs/>
        </w:rPr>
        <w:tab/>
      </w:r>
      <w:r w:rsidR="00476314">
        <w:rPr>
          <w:rFonts w:cs="Arial"/>
          <w:b/>
          <w:bCs/>
        </w:rPr>
        <w:t>2</w:t>
      </w:r>
      <w:r w:rsidR="00355939">
        <w:rPr>
          <w:rFonts w:cs="Arial"/>
          <w:b/>
          <w:bCs/>
        </w:rPr>
        <w:t>5</w:t>
      </w:r>
      <w:r w:rsidR="00476314">
        <w:rPr>
          <w:rFonts w:cs="Arial"/>
          <w:b/>
          <w:bCs/>
        </w:rPr>
        <w:t xml:space="preserve"> </w:t>
      </w:r>
      <w:r w:rsidR="0039181F">
        <w:rPr>
          <w:rFonts w:cs="Arial"/>
          <w:b/>
          <w:bCs/>
        </w:rPr>
        <w:t>Ju</w:t>
      </w:r>
      <w:r w:rsidR="00355939">
        <w:rPr>
          <w:rFonts w:cs="Arial"/>
          <w:b/>
          <w:bCs/>
        </w:rPr>
        <w:t>ly</w:t>
      </w:r>
      <w:r w:rsidR="0039181F">
        <w:rPr>
          <w:rFonts w:cs="Arial"/>
          <w:b/>
          <w:bCs/>
        </w:rPr>
        <w:t xml:space="preserve"> </w:t>
      </w:r>
      <w:r w:rsidR="00DA1441">
        <w:rPr>
          <w:rFonts w:cs="Arial"/>
          <w:b/>
          <w:bCs/>
        </w:rPr>
        <w:t>201</w:t>
      </w:r>
      <w:r w:rsidR="00DE3160">
        <w:rPr>
          <w:rFonts w:cs="Arial"/>
          <w:b/>
          <w:bCs/>
        </w:rPr>
        <w:t>8</w:t>
      </w:r>
      <w:r>
        <w:rPr>
          <w:rFonts w:cs="Arial"/>
          <w:b/>
          <w:bCs/>
        </w:rPr>
        <w:tab/>
        <w:t xml:space="preserve">       </w:t>
      </w:r>
      <w:r>
        <w:rPr>
          <w:rFonts w:cs="Arial"/>
          <w:b/>
          <w:bCs/>
        </w:rPr>
        <w:tab/>
        <w:t xml:space="preserve">   </w:t>
      </w:r>
      <w:r>
        <w:rPr>
          <w:rFonts w:cs="Arial"/>
          <w:b/>
          <w:bCs/>
        </w:rPr>
        <w:tab/>
      </w:r>
    </w:p>
    <w:p w:rsidR="00F4367A" w:rsidRDefault="00F4367A">
      <w:pPr>
        <w:jc w:val="right"/>
        <w:rPr>
          <w:rFonts w:cs="Arial"/>
          <w:b/>
          <w:bCs/>
        </w:rPr>
      </w:pPr>
    </w:p>
    <w:p w:rsidR="00F4367A" w:rsidRDefault="00F4367A">
      <w:pPr>
        <w:rPr>
          <w:rFonts w:cs="Arial"/>
          <w:b/>
          <w:bCs/>
        </w:rPr>
      </w:pPr>
      <w:r>
        <w:rPr>
          <w:rFonts w:cs="Arial"/>
          <w:b/>
          <w:bCs/>
        </w:rPr>
        <w:t>Report of:</w:t>
      </w:r>
      <w:r w:rsidR="00EA2FDD">
        <w:rPr>
          <w:rFonts w:cs="Arial"/>
          <w:b/>
          <w:bCs/>
        </w:rPr>
        <w:tab/>
      </w:r>
      <w:r w:rsidR="00EA2FDD">
        <w:rPr>
          <w:rFonts w:cs="Arial"/>
          <w:b/>
          <w:bCs/>
        </w:rPr>
        <w:tab/>
        <w:t xml:space="preserve">Head of </w:t>
      </w:r>
      <w:r w:rsidR="00832739">
        <w:rPr>
          <w:rFonts w:cs="Arial"/>
          <w:b/>
          <w:bCs/>
        </w:rPr>
        <w:t xml:space="preserve">Financial Services </w:t>
      </w:r>
      <w:r>
        <w:rPr>
          <w:rFonts w:cs="Arial"/>
          <w:b/>
          <w:bCs/>
        </w:rPr>
        <w:tab/>
      </w:r>
    </w:p>
    <w:p w:rsidR="00F4367A" w:rsidRDefault="00F4367A">
      <w:pPr>
        <w:tabs>
          <w:tab w:val="left" w:pos="2160"/>
        </w:tabs>
        <w:rPr>
          <w:rFonts w:cs="Arial"/>
          <w:b/>
          <w:bCs/>
        </w:rPr>
      </w:pPr>
    </w:p>
    <w:p w:rsidR="00F4367A" w:rsidRDefault="00F4367A" w:rsidP="004C5B6A">
      <w:pPr>
        <w:tabs>
          <w:tab w:val="left" w:pos="2160"/>
        </w:tabs>
        <w:ind w:left="2160" w:hanging="2160"/>
        <w:rPr>
          <w:rFonts w:cs="Arial"/>
          <w:b/>
          <w:bCs/>
        </w:rPr>
      </w:pPr>
      <w:r>
        <w:rPr>
          <w:rFonts w:cs="Arial"/>
          <w:b/>
          <w:bCs/>
        </w:rPr>
        <w:t>Title of Report:</w:t>
      </w:r>
      <w:r>
        <w:rPr>
          <w:rFonts w:cs="Arial"/>
          <w:b/>
          <w:bCs/>
        </w:rPr>
        <w:tab/>
      </w:r>
      <w:r w:rsidR="00476314" w:rsidRPr="00476314">
        <w:rPr>
          <w:rFonts w:cs="Arial"/>
          <w:b/>
          <w:bCs/>
        </w:rPr>
        <w:t xml:space="preserve">Investigation Team Performance and Activity </w:t>
      </w:r>
      <w:r w:rsidR="0039181F">
        <w:rPr>
          <w:rFonts w:cs="Arial"/>
          <w:b/>
          <w:bCs/>
        </w:rPr>
        <w:t>Annual Report</w:t>
      </w:r>
      <w:r w:rsidR="00476314">
        <w:rPr>
          <w:rFonts w:cs="Arial"/>
          <w:b/>
          <w:bCs/>
        </w:rPr>
        <w:t xml:space="preserve"> </w:t>
      </w:r>
    </w:p>
    <w:p w:rsidR="00F4367A" w:rsidRDefault="00F4367A">
      <w:pPr>
        <w:rPr>
          <w:rFonts w:cs="Arial"/>
        </w:rPr>
      </w:pPr>
    </w:p>
    <w:p w:rsidR="00F4367A" w:rsidRDefault="00F4367A" w:rsidP="00514C63">
      <w:pPr>
        <w:pStyle w:val="Heading1"/>
        <w:pBdr>
          <w:top w:val="single" w:sz="4" w:space="1" w:color="auto"/>
          <w:left w:val="single" w:sz="4" w:space="4" w:color="auto"/>
          <w:bottom w:val="single" w:sz="4" w:space="1" w:color="auto"/>
          <w:right w:val="single" w:sz="4" w:space="3" w:color="auto"/>
        </w:pBdr>
        <w:jc w:val="center"/>
        <w:rPr>
          <w:u w:val="single"/>
        </w:rPr>
      </w:pPr>
    </w:p>
    <w:p w:rsidR="00F4367A" w:rsidRDefault="00F4367A" w:rsidP="00514C63">
      <w:pPr>
        <w:pStyle w:val="Heading1"/>
        <w:pBdr>
          <w:top w:val="single" w:sz="4" w:space="1" w:color="auto"/>
          <w:left w:val="single" w:sz="4" w:space="4" w:color="auto"/>
          <w:bottom w:val="single" w:sz="4" w:space="1" w:color="auto"/>
          <w:right w:val="single" w:sz="4" w:space="3" w:color="auto"/>
        </w:pBdr>
        <w:jc w:val="center"/>
        <w:rPr>
          <w:u w:val="single"/>
        </w:rPr>
      </w:pPr>
      <w:r>
        <w:rPr>
          <w:u w:val="single"/>
        </w:rPr>
        <w:t>Summary and Recommendations</w:t>
      </w:r>
    </w:p>
    <w:p w:rsidR="00F4367A" w:rsidRDefault="00F4367A" w:rsidP="00514C63">
      <w:pPr>
        <w:pBdr>
          <w:top w:val="single" w:sz="4" w:space="1" w:color="auto"/>
          <w:left w:val="single" w:sz="4" w:space="4" w:color="auto"/>
          <w:bottom w:val="single" w:sz="4" w:space="1" w:color="auto"/>
          <w:right w:val="single" w:sz="4" w:space="3" w:color="auto"/>
        </w:pBdr>
        <w:rPr>
          <w:rFonts w:cs="Arial"/>
        </w:rPr>
      </w:pPr>
    </w:p>
    <w:p w:rsidR="00DA1441" w:rsidRDefault="00F4367A" w:rsidP="00514C63">
      <w:pPr>
        <w:pBdr>
          <w:top w:val="single" w:sz="4" w:space="1" w:color="auto"/>
          <w:left w:val="single" w:sz="4" w:space="4" w:color="auto"/>
          <w:bottom w:val="single" w:sz="4" w:space="1" w:color="auto"/>
          <w:right w:val="single" w:sz="4" w:space="3" w:color="auto"/>
        </w:pBdr>
        <w:rPr>
          <w:rFonts w:cs="Arial"/>
        </w:rPr>
      </w:pPr>
      <w:r>
        <w:rPr>
          <w:rFonts w:cs="Arial"/>
          <w:b/>
          <w:bCs/>
        </w:rPr>
        <w:t>Purpose of report</w:t>
      </w:r>
      <w:r>
        <w:rPr>
          <w:rFonts w:cs="Arial"/>
        </w:rPr>
        <w:t xml:space="preserve">: </w:t>
      </w:r>
      <w:r w:rsidR="00514C63">
        <w:rPr>
          <w:rFonts w:cs="Arial"/>
        </w:rPr>
        <w:t xml:space="preserve"> </w:t>
      </w:r>
    </w:p>
    <w:p w:rsidR="00AF136A" w:rsidRDefault="00DA1441" w:rsidP="00AF136A">
      <w:pPr>
        <w:pBdr>
          <w:top w:val="single" w:sz="4" w:space="1" w:color="auto"/>
          <w:left w:val="single" w:sz="4" w:space="4" w:color="auto"/>
          <w:bottom w:val="single" w:sz="4" w:space="1" w:color="auto"/>
          <w:right w:val="single" w:sz="4" w:space="3" w:color="auto"/>
        </w:pBdr>
        <w:ind w:left="284" w:hanging="284"/>
        <w:rPr>
          <w:rFonts w:cs="Arial"/>
        </w:rPr>
      </w:pPr>
      <w:r>
        <w:rPr>
          <w:rFonts w:cs="Arial"/>
        </w:rPr>
        <w:t xml:space="preserve">1. To </w:t>
      </w:r>
      <w:r w:rsidR="00AF136A">
        <w:rPr>
          <w:rFonts w:cs="Arial"/>
        </w:rPr>
        <w:t>appr</w:t>
      </w:r>
      <w:r w:rsidR="00832739">
        <w:rPr>
          <w:rFonts w:cs="Arial"/>
        </w:rPr>
        <w:t>a</w:t>
      </w:r>
      <w:r w:rsidR="00AF136A">
        <w:rPr>
          <w:rFonts w:cs="Arial"/>
        </w:rPr>
        <w:t>ise</w:t>
      </w:r>
      <w:r>
        <w:rPr>
          <w:rFonts w:cs="Arial"/>
        </w:rPr>
        <w:t xml:space="preserve"> Members </w:t>
      </w:r>
      <w:r w:rsidR="00AF136A">
        <w:rPr>
          <w:rFonts w:cs="Arial"/>
        </w:rPr>
        <w:t xml:space="preserve">of </w:t>
      </w:r>
      <w:r>
        <w:rPr>
          <w:rFonts w:cs="Arial"/>
        </w:rPr>
        <w:t xml:space="preserve">the activity </w:t>
      </w:r>
      <w:r w:rsidR="00514C63">
        <w:rPr>
          <w:rFonts w:cs="Arial"/>
        </w:rPr>
        <w:t xml:space="preserve">and performance </w:t>
      </w:r>
      <w:r>
        <w:rPr>
          <w:rFonts w:cs="Arial"/>
        </w:rPr>
        <w:t xml:space="preserve">of the </w:t>
      </w:r>
      <w:r w:rsidR="00026745">
        <w:rPr>
          <w:rFonts w:cs="Arial"/>
        </w:rPr>
        <w:t xml:space="preserve">Corporate   </w:t>
      </w:r>
      <w:r>
        <w:rPr>
          <w:rFonts w:cs="Arial"/>
        </w:rPr>
        <w:t>Investigation</w:t>
      </w:r>
      <w:r w:rsidR="00514C63">
        <w:rPr>
          <w:rFonts w:cs="Arial"/>
        </w:rPr>
        <w:t xml:space="preserve"> </w:t>
      </w:r>
      <w:r>
        <w:rPr>
          <w:rFonts w:cs="Arial"/>
        </w:rPr>
        <w:t>Team for the period 1 April 201</w:t>
      </w:r>
      <w:r w:rsidR="00355939">
        <w:rPr>
          <w:rFonts w:cs="Arial"/>
        </w:rPr>
        <w:t>7</w:t>
      </w:r>
      <w:r>
        <w:rPr>
          <w:rFonts w:cs="Arial"/>
        </w:rPr>
        <w:t xml:space="preserve"> to </w:t>
      </w:r>
      <w:r w:rsidR="0039181F">
        <w:rPr>
          <w:rFonts w:cs="Arial"/>
        </w:rPr>
        <w:t>31 March 201</w:t>
      </w:r>
      <w:r w:rsidR="00355939">
        <w:rPr>
          <w:rFonts w:cs="Arial"/>
        </w:rPr>
        <w:t>8</w:t>
      </w:r>
    </w:p>
    <w:p w:rsidR="00F4367A" w:rsidRDefault="00F4367A" w:rsidP="00AF136A">
      <w:pPr>
        <w:pBdr>
          <w:top w:val="single" w:sz="4" w:space="1" w:color="auto"/>
          <w:left w:val="single" w:sz="4" w:space="4" w:color="auto"/>
          <w:bottom w:val="single" w:sz="4" w:space="1" w:color="auto"/>
          <w:right w:val="single" w:sz="4" w:space="3" w:color="auto"/>
        </w:pBdr>
        <w:ind w:left="284" w:hanging="284"/>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4367A" w:rsidRDefault="00623C2F" w:rsidP="00514C63">
      <w:pPr>
        <w:pStyle w:val="Heading1"/>
        <w:pBdr>
          <w:top w:val="single" w:sz="4" w:space="1" w:color="auto"/>
          <w:left w:val="single" w:sz="4" w:space="4" w:color="auto"/>
          <w:bottom w:val="single" w:sz="4" w:space="1" w:color="auto"/>
          <w:right w:val="single" w:sz="4" w:space="3" w:color="auto"/>
        </w:pBdr>
        <w:tabs>
          <w:tab w:val="left" w:pos="3062"/>
        </w:tabs>
        <w:rPr>
          <w:bCs w:val="0"/>
        </w:rPr>
      </w:pPr>
      <w:r>
        <w:rPr>
          <w:bCs w:val="0"/>
        </w:rPr>
        <w:t xml:space="preserve">Key decision </w:t>
      </w:r>
      <w:r w:rsidR="00C61E57">
        <w:rPr>
          <w:b w:val="0"/>
          <w:bCs w:val="0"/>
        </w:rPr>
        <w:t>No</w:t>
      </w:r>
    </w:p>
    <w:p w:rsidR="00F4367A" w:rsidRDefault="00F4367A" w:rsidP="00514C63">
      <w:pPr>
        <w:pBdr>
          <w:top w:val="single" w:sz="4" w:space="1" w:color="auto"/>
          <w:left w:val="single" w:sz="4" w:space="4" w:color="auto"/>
          <w:bottom w:val="single" w:sz="4" w:space="1" w:color="auto"/>
          <w:right w:val="single" w:sz="4" w:space="3" w:color="auto"/>
        </w:pBdr>
        <w:rPr>
          <w:rFonts w:cs="Arial"/>
        </w:rPr>
      </w:pPr>
    </w:p>
    <w:p w:rsidR="00F4367A" w:rsidRDefault="00F4367A" w:rsidP="00514C63">
      <w:pPr>
        <w:pBdr>
          <w:top w:val="single" w:sz="4" w:space="1" w:color="auto"/>
          <w:left w:val="single" w:sz="4" w:space="4" w:color="auto"/>
          <w:bottom w:val="single" w:sz="4" w:space="1" w:color="auto"/>
          <w:right w:val="single" w:sz="4" w:space="3" w:color="auto"/>
        </w:pBdr>
        <w:rPr>
          <w:rFonts w:cs="Arial"/>
          <w:b/>
          <w:bCs/>
        </w:rPr>
      </w:pPr>
      <w:r>
        <w:rPr>
          <w:rFonts w:cs="Arial"/>
          <w:b/>
          <w:bCs/>
        </w:rPr>
        <w:t xml:space="preserve">Executive lead member: </w:t>
      </w:r>
      <w:r w:rsidR="00514C63" w:rsidRPr="00514C63">
        <w:rPr>
          <w:rFonts w:cs="Arial"/>
          <w:bCs/>
        </w:rPr>
        <w:t>Councillor Ed Turner</w:t>
      </w:r>
    </w:p>
    <w:p w:rsidR="00F4367A" w:rsidRDefault="00F4367A" w:rsidP="00514C63">
      <w:pPr>
        <w:pStyle w:val="Heading1"/>
        <w:pBdr>
          <w:top w:val="single" w:sz="4" w:space="1" w:color="auto"/>
          <w:left w:val="single" w:sz="4" w:space="4" w:color="auto"/>
          <w:bottom w:val="single" w:sz="4" w:space="1" w:color="auto"/>
          <w:right w:val="single" w:sz="4" w:space="3" w:color="auto"/>
        </w:pBdr>
      </w:pPr>
    </w:p>
    <w:p w:rsidR="00F4367A" w:rsidRDefault="00F4367A" w:rsidP="00514C63">
      <w:pPr>
        <w:pBdr>
          <w:top w:val="single" w:sz="4" w:space="1" w:color="auto"/>
          <w:left w:val="single" w:sz="4" w:space="4" w:color="auto"/>
          <w:bottom w:val="single" w:sz="4" w:space="1" w:color="auto"/>
          <w:right w:val="single" w:sz="4" w:space="3" w:color="auto"/>
        </w:pBdr>
        <w:rPr>
          <w:rFonts w:cs="Arial"/>
          <w:b/>
          <w:bCs/>
        </w:rPr>
      </w:pPr>
      <w:r>
        <w:rPr>
          <w:rFonts w:cs="Arial"/>
          <w:b/>
          <w:bCs/>
        </w:rPr>
        <w:t xml:space="preserve">Policy Framework: </w:t>
      </w:r>
      <w:r w:rsidR="00C61E57">
        <w:rPr>
          <w:rFonts w:cs="Arial"/>
          <w:b/>
          <w:bCs/>
        </w:rPr>
        <w:t>Corporate Plan Priority – Efficient &amp; Effective Council</w:t>
      </w:r>
    </w:p>
    <w:p w:rsidR="00F4367A" w:rsidRDefault="00F4367A" w:rsidP="00514C63">
      <w:pPr>
        <w:pStyle w:val="Heading1"/>
        <w:pBdr>
          <w:top w:val="single" w:sz="4" w:space="1" w:color="auto"/>
          <w:left w:val="single" w:sz="4" w:space="4" w:color="auto"/>
          <w:bottom w:val="single" w:sz="4" w:space="1" w:color="auto"/>
          <w:right w:val="single" w:sz="4" w:space="3" w:color="auto"/>
        </w:pBdr>
      </w:pPr>
    </w:p>
    <w:p w:rsidR="00F4367A" w:rsidRDefault="00F4367A" w:rsidP="00514C63">
      <w:pPr>
        <w:pBdr>
          <w:top w:val="single" w:sz="4" w:space="1" w:color="auto"/>
          <w:left w:val="single" w:sz="4" w:space="4" w:color="auto"/>
          <w:bottom w:val="single" w:sz="4" w:space="1" w:color="auto"/>
          <w:right w:val="single" w:sz="4" w:space="3" w:color="auto"/>
        </w:pBdr>
        <w:tabs>
          <w:tab w:val="left" w:pos="3048"/>
        </w:tabs>
        <w:rPr>
          <w:rFonts w:cs="Arial"/>
          <w:b/>
        </w:rPr>
      </w:pPr>
      <w:r>
        <w:rPr>
          <w:rFonts w:cs="Arial"/>
          <w:b/>
        </w:rPr>
        <w:t xml:space="preserve">Recommendation(s): </w:t>
      </w:r>
      <w:r w:rsidR="00514C63" w:rsidRPr="00514C63">
        <w:rPr>
          <w:rFonts w:cs="Arial"/>
        </w:rPr>
        <w:t>That the report be noted</w:t>
      </w:r>
      <w:r>
        <w:rPr>
          <w:rFonts w:cs="Arial"/>
          <w:b/>
        </w:rPr>
        <w:tab/>
      </w:r>
    </w:p>
    <w:p w:rsidR="00F4367A" w:rsidRDefault="00F4367A" w:rsidP="00514C63">
      <w:pPr>
        <w:pBdr>
          <w:top w:val="single" w:sz="4" w:space="1" w:color="auto"/>
          <w:left w:val="single" w:sz="4" w:space="4" w:color="auto"/>
          <w:bottom w:val="single" w:sz="4" w:space="1" w:color="auto"/>
          <w:right w:val="single" w:sz="4" w:space="3" w:color="auto"/>
        </w:pBdr>
        <w:tabs>
          <w:tab w:val="left" w:pos="3048"/>
        </w:tabs>
        <w:rPr>
          <w:rFonts w:cs="Arial"/>
          <w:b/>
        </w:rPr>
      </w:pPr>
    </w:p>
    <w:p w:rsidR="00F4367A" w:rsidRDefault="00F4367A">
      <w:pPr>
        <w:rPr>
          <w:rFonts w:cs="Arial"/>
        </w:rPr>
      </w:pPr>
    </w:p>
    <w:p w:rsidR="006E3B55" w:rsidRDefault="007F2AD3">
      <w:pPr>
        <w:rPr>
          <w:rFonts w:cs="Arial"/>
          <w:b/>
        </w:rPr>
      </w:pPr>
      <w:r>
        <w:rPr>
          <w:rFonts w:cs="Arial"/>
          <w:b/>
        </w:rPr>
        <w:t>Appendices</w:t>
      </w:r>
    </w:p>
    <w:p w:rsidR="008F264B" w:rsidRDefault="008F264B" w:rsidP="00A710FB">
      <w:pPr>
        <w:jc w:val="both"/>
      </w:pPr>
      <w:r w:rsidRPr="008F264B">
        <w:t xml:space="preserve">Appendix </w:t>
      </w:r>
      <w:r>
        <w:t>1</w:t>
      </w:r>
      <w:r w:rsidRPr="008F264B">
        <w:t xml:space="preserve"> – Oxford Investigation Service 2</w:t>
      </w:r>
      <w:r w:rsidRPr="008F264B">
        <w:rPr>
          <w:vertAlign w:val="superscript"/>
        </w:rPr>
        <w:t>nd</w:t>
      </w:r>
      <w:r w:rsidRPr="008F264B">
        <w:t xml:space="preserve"> Annual Conference Agenda</w:t>
      </w:r>
    </w:p>
    <w:p w:rsidR="00A710FB" w:rsidRDefault="00A710FB" w:rsidP="00A710FB">
      <w:pPr>
        <w:jc w:val="both"/>
      </w:pPr>
      <w:r>
        <w:t xml:space="preserve">Appendix </w:t>
      </w:r>
      <w:r w:rsidR="008F264B">
        <w:t>2</w:t>
      </w:r>
      <w:r>
        <w:t xml:space="preserve"> – Internal Investigations – Exempt from publication</w:t>
      </w:r>
    </w:p>
    <w:p w:rsidR="0028754B" w:rsidRDefault="0028754B" w:rsidP="00A710FB">
      <w:pPr>
        <w:jc w:val="both"/>
      </w:pPr>
    </w:p>
    <w:p w:rsidR="007F2AD3" w:rsidRDefault="007F2AD3">
      <w:pPr>
        <w:rPr>
          <w:rFonts w:cs="Arial"/>
          <w:b/>
        </w:rPr>
      </w:pPr>
    </w:p>
    <w:p w:rsidR="007B6E54" w:rsidRDefault="00302A89">
      <w:pPr>
        <w:rPr>
          <w:rFonts w:cs="Arial"/>
          <w:b/>
        </w:rPr>
      </w:pPr>
      <w:r>
        <w:rPr>
          <w:rFonts w:cs="Arial"/>
          <w:b/>
        </w:rPr>
        <w:t xml:space="preserve">      </w:t>
      </w:r>
      <w:r w:rsidR="007B6E54">
        <w:rPr>
          <w:rFonts w:cs="Arial"/>
          <w:b/>
        </w:rPr>
        <w:t>Background</w:t>
      </w:r>
    </w:p>
    <w:p w:rsidR="001046A6" w:rsidRPr="005A6D59" w:rsidRDefault="00476314" w:rsidP="001046A6">
      <w:pPr>
        <w:pStyle w:val="ListParagraph"/>
        <w:numPr>
          <w:ilvl w:val="0"/>
          <w:numId w:val="2"/>
        </w:numPr>
        <w:rPr>
          <w:rFonts w:cs="Arial"/>
        </w:rPr>
      </w:pPr>
      <w:r w:rsidRPr="005A6D59">
        <w:rPr>
          <w:rFonts w:cs="Arial"/>
        </w:rPr>
        <w:t xml:space="preserve">The </w:t>
      </w:r>
      <w:r w:rsidR="005512A2" w:rsidRPr="005A6D59">
        <w:rPr>
          <w:rFonts w:cs="Arial"/>
        </w:rPr>
        <w:t xml:space="preserve">remit of the </w:t>
      </w:r>
      <w:r w:rsidRPr="005A6D59">
        <w:rPr>
          <w:rFonts w:cs="Arial"/>
        </w:rPr>
        <w:t xml:space="preserve">Corporate </w:t>
      </w:r>
      <w:r w:rsidR="005512A2" w:rsidRPr="005A6D59">
        <w:rPr>
          <w:rFonts w:cs="Arial"/>
        </w:rPr>
        <w:t xml:space="preserve">Investigation Team </w:t>
      </w:r>
      <w:r w:rsidRPr="005A6D59">
        <w:rPr>
          <w:rFonts w:cs="Arial"/>
        </w:rPr>
        <w:t xml:space="preserve">is to tackle fraud and irregularity across the Council, aligned </w:t>
      </w:r>
      <w:r w:rsidR="005A6D59" w:rsidRPr="005A6D59">
        <w:rPr>
          <w:rFonts w:cs="Arial"/>
        </w:rPr>
        <w:t xml:space="preserve">to our </w:t>
      </w:r>
      <w:r w:rsidR="001046A6" w:rsidRPr="005A6D59">
        <w:rPr>
          <w:rFonts w:cs="Arial"/>
        </w:rPr>
        <w:t xml:space="preserve">services’ fraud risks and the priorities identified by </w:t>
      </w:r>
      <w:r w:rsidR="00E96638" w:rsidRPr="005A6D59">
        <w:rPr>
          <w:rFonts w:cs="Arial"/>
        </w:rPr>
        <w:t xml:space="preserve">the </w:t>
      </w:r>
      <w:r w:rsidR="005A6D59" w:rsidRPr="005A6D59">
        <w:rPr>
          <w:rFonts w:cs="Arial"/>
        </w:rPr>
        <w:t xml:space="preserve">previous </w:t>
      </w:r>
      <w:r w:rsidR="00E96638" w:rsidRPr="005A6D59">
        <w:rPr>
          <w:rFonts w:cs="Arial"/>
        </w:rPr>
        <w:t>Audit Commission</w:t>
      </w:r>
      <w:r w:rsidR="005A6D59" w:rsidRPr="005A6D59">
        <w:rPr>
          <w:rFonts w:cs="Arial"/>
        </w:rPr>
        <w:t xml:space="preserve"> and The European Institute </w:t>
      </w:r>
      <w:proofErr w:type="gramStart"/>
      <w:r w:rsidR="005A6D59" w:rsidRPr="005A6D59">
        <w:rPr>
          <w:rFonts w:cs="Arial"/>
        </w:rPr>
        <w:t>For Combatting Corruption And</w:t>
      </w:r>
      <w:proofErr w:type="gramEnd"/>
      <w:r w:rsidR="005A6D59" w:rsidRPr="005A6D59">
        <w:rPr>
          <w:rFonts w:cs="Arial"/>
        </w:rPr>
        <w:t xml:space="preserve"> Fraud (TEICCAF)</w:t>
      </w:r>
      <w:r w:rsidR="001046A6" w:rsidRPr="005A6D59">
        <w:rPr>
          <w:rFonts w:cs="Arial"/>
        </w:rPr>
        <w:t>.</w:t>
      </w:r>
      <w:r w:rsidR="005A6D59" w:rsidRPr="005A6D59">
        <w:rPr>
          <w:rFonts w:cs="Arial"/>
        </w:rPr>
        <w:t xml:space="preserve"> </w:t>
      </w:r>
    </w:p>
    <w:p w:rsidR="00F83EE5" w:rsidRDefault="00F83EE5" w:rsidP="001046A6">
      <w:pPr>
        <w:ind w:left="360"/>
        <w:rPr>
          <w:rFonts w:cs="Arial"/>
        </w:rPr>
      </w:pPr>
    </w:p>
    <w:p w:rsidR="001046A6" w:rsidRPr="00E71032" w:rsidRDefault="001046A6" w:rsidP="001B5C57">
      <w:pPr>
        <w:pStyle w:val="ListParagraph"/>
        <w:numPr>
          <w:ilvl w:val="0"/>
          <w:numId w:val="2"/>
        </w:numPr>
        <w:rPr>
          <w:rFonts w:cs="Arial"/>
        </w:rPr>
      </w:pPr>
      <w:r w:rsidRPr="00F52A3F">
        <w:rPr>
          <w:rFonts w:cs="Arial"/>
        </w:rPr>
        <w:t xml:space="preserve">The aims and objectives of the </w:t>
      </w:r>
      <w:r w:rsidR="0058032C" w:rsidRPr="00F52A3F">
        <w:rPr>
          <w:rFonts w:cs="Arial"/>
        </w:rPr>
        <w:t>T</w:t>
      </w:r>
      <w:r w:rsidRPr="00F52A3F">
        <w:rPr>
          <w:rFonts w:cs="Arial"/>
        </w:rPr>
        <w:t xml:space="preserve">eam are to provide high quality professional </w:t>
      </w:r>
      <w:r w:rsidR="00862AB0" w:rsidRPr="00F52A3F">
        <w:rPr>
          <w:rFonts w:cs="Arial"/>
        </w:rPr>
        <w:t>c</w:t>
      </w:r>
      <w:r w:rsidRPr="00F52A3F">
        <w:rPr>
          <w:rFonts w:cs="Arial"/>
        </w:rPr>
        <w:t xml:space="preserve">orporate </w:t>
      </w:r>
      <w:r w:rsidR="00862AB0" w:rsidRPr="00E71032">
        <w:rPr>
          <w:rFonts w:cs="Arial"/>
        </w:rPr>
        <w:t>f</w:t>
      </w:r>
      <w:r w:rsidRPr="00E71032">
        <w:rPr>
          <w:rFonts w:cs="Arial"/>
        </w:rPr>
        <w:t xml:space="preserve">raud </w:t>
      </w:r>
      <w:r w:rsidR="00862AB0" w:rsidRPr="00E71032">
        <w:rPr>
          <w:rFonts w:cs="Arial"/>
        </w:rPr>
        <w:t xml:space="preserve">investigation </w:t>
      </w:r>
      <w:r w:rsidRPr="00E71032">
        <w:rPr>
          <w:rFonts w:cs="Arial"/>
        </w:rPr>
        <w:t xml:space="preserve">services to the Council </w:t>
      </w:r>
      <w:r w:rsidR="00862AB0" w:rsidRPr="00E71032">
        <w:rPr>
          <w:rFonts w:cs="Arial"/>
        </w:rPr>
        <w:t>to</w:t>
      </w:r>
      <w:r w:rsidRPr="00E71032">
        <w:rPr>
          <w:rFonts w:cs="Arial"/>
        </w:rPr>
        <w:t xml:space="preserve"> prevent and detect fraud and error within </w:t>
      </w:r>
      <w:r w:rsidR="00862AB0" w:rsidRPr="00E71032">
        <w:rPr>
          <w:rFonts w:cs="Arial"/>
        </w:rPr>
        <w:t xml:space="preserve">the </w:t>
      </w:r>
      <w:r w:rsidRPr="00E71032">
        <w:rPr>
          <w:rFonts w:cs="Arial"/>
        </w:rPr>
        <w:t>Council and partner organisations, and to assist cross border agencies where possible.</w:t>
      </w:r>
      <w:r w:rsidR="00F83EE5" w:rsidRPr="00E71032">
        <w:rPr>
          <w:rFonts w:cs="Arial"/>
        </w:rPr>
        <w:t xml:space="preserve"> </w:t>
      </w:r>
      <w:r w:rsidR="00F83EE5" w:rsidRPr="00E71032">
        <w:rPr>
          <w:rFonts w:cs="Arial"/>
        </w:rPr>
        <w:lastRenderedPageBreak/>
        <w:t>Through this activity, financial losses are prevented</w:t>
      </w:r>
      <w:r w:rsidR="005A6D59" w:rsidRPr="00E71032">
        <w:rPr>
          <w:rFonts w:cs="Arial"/>
        </w:rPr>
        <w:t xml:space="preserve">, </w:t>
      </w:r>
      <w:r w:rsidR="00F83EE5" w:rsidRPr="00E71032">
        <w:rPr>
          <w:rFonts w:cs="Arial"/>
        </w:rPr>
        <w:t>additional rev</w:t>
      </w:r>
      <w:r w:rsidR="005A6D59" w:rsidRPr="00E71032">
        <w:rPr>
          <w:rFonts w:cs="Arial"/>
        </w:rPr>
        <w:t>enue is identified for recovery, and income is secured through supply of services.</w:t>
      </w:r>
    </w:p>
    <w:p w:rsidR="001B5C57" w:rsidRDefault="001B5C57" w:rsidP="001B5C57">
      <w:pPr>
        <w:autoSpaceDE w:val="0"/>
        <w:autoSpaceDN w:val="0"/>
        <w:adjustRightInd w:val="0"/>
        <w:ind w:left="360"/>
        <w:jc w:val="both"/>
        <w:rPr>
          <w:rFonts w:cs="Arial"/>
          <w:b/>
          <w:lang w:eastAsia="en-GB"/>
        </w:rPr>
      </w:pPr>
    </w:p>
    <w:p w:rsidR="004D2AC1" w:rsidRDefault="004D2AC1" w:rsidP="001B5C57">
      <w:pPr>
        <w:autoSpaceDE w:val="0"/>
        <w:autoSpaceDN w:val="0"/>
        <w:adjustRightInd w:val="0"/>
        <w:ind w:left="360"/>
        <w:jc w:val="both"/>
        <w:rPr>
          <w:rFonts w:cs="Arial"/>
          <w:b/>
          <w:lang w:eastAsia="en-GB"/>
        </w:rPr>
      </w:pPr>
    </w:p>
    <w:p w:rsidR="004D2AC1" w:rsidRDefault="004D2AC1" w:rsidP="001B5C57">
      <w:pPr>
        <w:autoSpaceDE w:val="0"/>
        <w:autoSpaceDN w:val="0"/>
        <w:adjustRightInd w:val="0"/>
        <w:ind w:left="360"/>
        <w:jc w:val="both"/>
        <w:rPr>
          <w:rFonts w:cs="Arial"/>
          <w:b/>
          <w:lang w:eastAsia="en-GB"/>
        </w:rPr>
      </w:pPr>
    </w:p>
    <w:p w:rsidR="004D2AC1" w:rsidRDefault="004D2AC1" w:rsidP="001B5C57">
      <w:pPr>
        <w:autoSpaceDE w:val="0"/>
        <w:autoSpaceDN w:val="0"/>
        <w:adjustRightInd w:val="0"/>
        <w:ind w:left="360"/>
        <w:jc w:val="both"/>
        <w:rPr>
          <w:rFonts w:cs="Arial"/>
          <w:b/>
          <w:lang w:eastAsia="en-GB"/>
        </w:rPr>
      </w:pPr>
    </w:p>
    <w:p w:rsidR="004D2AC1" w:rsidRDefault="004D2AC1" w:rsidP="001B5C57">
      <w:pPr>
        <w:autoSpaceDE w:val="0"/>
        <w:autoSpaceDN w:val="0"/>
        <w:adjustRightInd w:val="0"/>
        <w:ind w:left="360"/>
        <w:jc w:val="both"/>
        <w:rPr>
          <w:rFonts w:cs="Arial"/>
          <w:b/>
          <w:lang w:eastAsia="en-GB"/>
        </w:rPr>
      </w:pPr>
    </w:p>
    <w:p w:rsidR="002A48DC" w:rsidRPr="002A48DC" w:rsidRDefault="002A48DC" w:rsidP="002A48DC">
      <w:pPr>
        <w:autoSpaceDE w:val="0"/>
        <w:autoSpaceDN w:val="0"/>
        <w:adjustRightInd w:val="0"/>
        <w:jc w:val="both"/>
        <w:rPr>
          <w:rFonts w:cs="Arial"/>
          <w:b/>
          <w:lang w:eastAsia="en-GB"/>
        </w:rPr>
      </w:pPr>
      <w:r>
        <w:rPr>
          <w:rFonts w:cs="Arial"/>
          <w:b/>
          <w:lang w:eastAsia="en-GB"/>
        </w:rPr>
        <w:t>Performance</w:t>
      </w:r>
      <w:r w:rsidR="00F855DE">
        <w:rPr>
          <w:rFonts w:cs="Arial"/>
          <w:b/>
          <w:lang w:eastAsia="en-GB"/>
        </w:rPr>
        <w:t xml:space="preserve"> in 201</w:t>
      </w:r>
      <w:r w:rsidR="00355939">
        <w:rPr>
          <w:rFonts w:cs="Arial"/>
          <w:b/>
          <w:lang w:eastAsia="en-GB"/>
        </w:rPr>
        <w:t>7</w:t>
      </w:r>
      <w:r w:rsidR="00F855DE">
        <w:rPr>
          <w:rFonts w:cs="Arial"/>
          <w:b/>
          <w:lang w:eastAsia="en-GB"/>
        </w:rPr>
        <w:t>-1</w:t>
      </w:r>
      <w:r w:rsidR="00355939">
        <w:rPr>
          <w:rFonts w:cs="Arial"/>
          <w:b/>
          <w:lang w:eastAsia="en-GB"/>
        </w:rPr>
        <w:t>8</w:t>
      </w:r>
    </w:p>
    <w:p w:rsidR="00036F46" w:rsidRPr="00036F46" w:rsidRDefault="00F83EE5" w:rsidP="00036F46">
      <w:pPr>
        <w:pStyle w:val="ListParagraph"/>
        <w:numPr>
          <w:ilvl w:val="0"/>
          <w:numId w:val="2"/>
        </w:numPr>
        <w:autoSpaceDE w:val="0"/>
        <w:autoSpaceDN w:val="0"/>
        <w:adjustRightInd w:val="0"/>
        <w:jc w:val="both"/>
        <w:rPr>
          <w:rFonts w:cs="Arial"/>
          <w:lang w:eastAsia="en-GB"/>
        </w:rPr>
      </w:pPr>
      <w:r>
        <w:rPr>
          <w:rFonts w:cs="Arial"/>
        </w:rPr>
        <w:t>For 201</w:t>
      </w:r>
      <w:r w:rsidR="00355939">
        <w:rPr>
          <w:rFonts w:cs="Arial"/>
        </w:rPr>
        <w:t>7</w:t>
      </w:r>
      <w:r w:rsidR="005A6D59">
        <w:rPr>
          <w:rFonts w:cs="Arial"/>
        </w:rPr>
        <w:t>/1</w:t>
      </w:r>
      <w:r w:rsidR="00355939">
        <w:rPr>
          <w:rFonts w:cs="Arial"/>
        </w:rPr>
        <w:t>8</w:t>
      </w:r>
      <w:r>
        <w:rPr>
          <w:rFonts w:cs="Arial"/>
        </w:rPr>
        <w:t>, t</w:t>
      </w:r>
      <w:r w:rsidR="00036F46" w:rsidRPr="00036F46">
        <w:rPr>
          <w:rFonts w:cs="Arial"/>
        </w:rPr>
        <w:t xml:space="preserve">here </w:t>
      </w:r>
      <w:r w:rsidR="005A6D59">
        <w:rPr>
          <w:rFonts w:cs="Arial"/>
        </w:rPr>
        <w:t>a</w:t>
      </w:r>
      <w:r>
        <w:rPr>
          <w:rFonts w:cs="Arial"/>
        </w:rPr>
        <w:t>re</w:t>
      </w:r>
      <w:r w:rsidR="00036F46" w:rsidRPr="00036F46">
        <w:rPr>
          <w:rFonts w:cs="Arial"/>
        </w:rPr>
        <w:t xml:space="preserve"> </w:t>
      </w:r>
      <w:r w:rsidR="007E51E2">
        <w:rPr>
          <w:rFonts w:cs="Arial"/>
        </w:rPr>
        <w:t>four</w:t>
      </w:r>
      <w:r w:rsidR="00036F46" w:rsidRPr="00036F46">
        <w:rPr>
          <w:rFonts w:cs="Arial"/>
        </w:rPr>
        <w:t xml:space="preserve"> Service Performance Indicators </w:t>
      </w:r>
      <w:r w:rsidR="00036F46" w:rsidRPr="00036F46">
        <w:rPr>
          <w:rFonts w:cs="Arial"/>
          <w:lang w:eastAsia="en-GB"/>
        </w:rPr>
        <w:t xml:space="preserve">used to track performance on a monthly basis. Performance </w:t>
      </w:r>
      <w:r w:rsidR="004C71E8">
        <w:rPr>
          <w:rFonts w:cs="Arial"/>
          <w:lang w:eastAsia="en-GB"/>
        </w:rPr>
        <w:t xml:space="preserve">against these targets </w:t>
      </w:r>
      <w:r w:rsidR="00054FBB">
        <w:rPr>
          <w:rFonts w:cs="Arial"/>
          <w:lang w:eastAsia="en-GB"/>
        </w:rPr>
        <w:t>is shown in the table below</w:t>
      </w:r>
      <w:r w:rsidR="00036F46" w:rsidRPr="00036F46">
        <w:rPr>
          <w:rFonts w:cs="Arial"/>
          <w:lang w:eastAsia="en-GB"/>
        </w:rPr>
        <w:t xml:space="preserve">. </w:t>
      </w:r>
    </w:p>
    <w:p w:rsidR="00036F46" w:rsidRDefault="00036F46" w:rsidP="00036F46">
      <w:pPr>
        <w:rPr>
          <w:rFonts w:cs="Arial"/>
        </w:rPr>
      </w:pP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559"/>
        <w:gridCol w:w="1701"/>
        <w:gridCol w:w="3311"/>
      </w:tblGrid>
      <w:tr w:rsidR="00054FBB" w:rsidRPr="002A332E" w:rsidTr="00B14373">
        <w:tc>
          <w:tcPr>
            <w:tcW w:w="8414" w:type="dxa"/>
            <w:gridSpan w:val="4"/>
            <w:shd w:val="clear" w:color="auto" w:fill="548DD4"/>
          </w:tcPr>
          <w:p w:rsidR="00054FBB" w:rsidRPr="002A332E" w:rsidRDefault="00030F54" w:rsidP="00355939">
            <w:pPr>
              <w:autoSpaceDE w:val="0"/>
              <w:autoSpaceDN w:val="0"/>
              <w:adjustRightInd w:val="0"/>
              <w:rPr>
                <w:rFonts w:cs="Arial"/>
                <w:b/>
                <w:lang w:eastAsia="en-GB"/>
              </w:rPr>
            </w:pPr>
            <w:r>
              <w:rPr>
                <w:rFonts w:cs="Arial"/>
                <w:b/>
                <w:lang w:eastAsia="en-GB"/>
              </w:rPr>
              <w:t xml:space="preserve">Table 1 - </w:t>
            </w:r>
            <w:r w:rsidR="00054FBB">
              <w:rPr>
                <w:rFonts w:cs="Arial"/>
                <w:b/>
                <w:lang w:eastAsia="en-GB"/>
              </w:rPr>
              <w:t>Investi</w:t>
            </w:r>
            <w:r w:rsidR="00B71216">
              <w:rPr>
                <w:rFonts w:cs="Arial"/>
                <w:b/>
                <w:lang w:eastAsia="en-GB"/>
              </w:rPr>
              <w:t xml:space="preserve">gations Team Performance from </w:t>
            </w:r>
            <w:r w:rsidR="00CF67F4">
              <w:rPr>
                <w:rFonts w:cs="Arial"/>
                <w:b/>
                <w:lang w:eastAsia="en-GB"/>
              </w:rPr>
              <w:t xml:space="preserve">01 </w:t>
            </w:r>
            <w:r w:rsidR="00B71216">
              <w:rPr>
                <w:rFonts w:cs="Arial"/>
                <w:b/>
                <w:lang w:eastAsia="en-GB"/>
              </w:rPr>
              <w:t>April 201</w:t>
            </w:r>
            <w:r w:rsidR="00355939">
              <w:rPr>
                <w:rFonts w:cs="Arial"/>
                <w:b/>
                <w:lang w:eastAsia="en-GB"/>
              </w:rPr>
              <w:t>7</w:t>
            </w:r>
            <w:r w:rsidR="00B71216">
              <w:rPr>
                <w:rFonts w:cs="Arial"/>
                <w:b/>
                <w:lang w:eastAsia="en-GB"/>
              </w:rPr>
              <w:t xml:space="preserve"> </w:t>
            </w:r>
            <w:r w:rsidR="00B71216" w:rsidRPr="00CF67F4">
              <w:rPr>
                <w:rFonts w:cs="Arial"/>
                <w:b/>
                <w:lang w:eastAsia="en-GB"/>
              </w:rPr>
              <w:t xml:space="preserve">to </w:t>
            </w:r>
            <w:r w:rsidR="00CF67F4" w:rsidRPr="00CF67F4">
              <w:rPr>
                <w:rFonts w:cs="Arial"/>
                <w:b/>
                <w:lang w:eastAsia="en-GB"/>
              </w:rPr>
              <w:t xml:space="preserve">31 </w:t>
            </w:r>
            <w:r w:rsidR="0039181F">
              <w:rPr>
                <w:rFonts w:cs="Arial"/>
                <w:b/>
                <w:lang w:eastAsia="en-GB"/>
              </w:rPr>
              <w:t>March 201</w:t>
            </w:r>
            <w:r w:rsidR="00355939">
              <w:rPr>
                <w:rFonts w:cs="Arial"/>
                <w:b/>
                <w:lang w:eastAsia="en-GB"/>
              </w:rPr>
              <w:t>8</w:t>
            </w:r>
          </w:p>
        </w:tc>
      </w:tr>
      <w:tr w:rsidR="00B14373" w:rsidRPr="002A332E" w:rsidTr="00951391">
        <w:tc>
          <w:tcPr>
            <w:tcW w:w="1843" w:type="dxa"/>
            <w:shd w:val="clear" w:color="auto" w:fill="548DD4"/>
          </w:tcPr>
          <w:p w:rsidR="00B14373" w:rsidRPr="002A332E" w:rsidRDefault="00B14373" w:rsidP="00293121">
            <w:pPr>
              <w:autoSpaceDE w:val="0"/>
              <w:autoSpaceDN w:val="0"/>
              <w:adjustRightInd w:val="0"/>
              <w:jc w:val="center"/>
              <w:rPr>
                <w:rFonts w:cs="Arial"/>
                <w:b/>
                <w:lang w:eastAsia="en-GB"/>
              </w:rPr>
            </w:pPr>
            <w:r w:rsidRPr="002A332E">
              <w:rPr>
                <w:rFonts w:cs="Arial"/>
                <w:b/>
                <w:lang w:eastAsia="en-GB"/>
              </w:rPr>
              <w:t>Measure</w:t>
            </w:r>
          </w:p>
          <w:p w:rsidR="00B14373" w:rsidRPr="002A332E" w:rsidRDefault="00B14373" w:rsidP="00293121">
            <w:pPr>
              <w:autoSpaceDE w:val="0"/>
              <w:autoSpaceDN w:val="0"/>
              <w:adjustRightInd w:val="0"/>
              <w:jc w:val="center"/>
              <w:rPr>
                <w:rFonts w:cs="Arial"/>
                <w:b/>
                <w:lang w:eastAsia="en-GB"/>
              </w:rPr>
            </w:pPr>
          </w:p>
        </w:tc>
        <w:tc>
          <w:tcPr>
            <w:tcW w:w="1559" w:type="dxa"/>
            <w:shd w:val="clear" w:color="auto" w:fill="548DD4"/>
          </w:tcPr>
          <w:p w:rsidR="00B14373" w:rsidRDefault="00B14373" w:rsidP="00293121">
            <w:pPr>
              <w:autoSpaceDE w:val="0"/>
              <w:autoSpaceDN w:val="0"/>
              <w:adjustRightInd w:val="0"/>
              <w:jc w:val="center"/>
              <w:rPr>
                <w:rFonts w:cs="Arial"/>
                <w:b/>
                <w:lang w:eastAsia="en-GB"/>
              </w:rPr>
            </w:pPr>
            <w:r>
              <w:rPr>
                <w:rFonts w:cs="Arial"/>
                <w:b/>
                <w:lang w:eastAsia="en-GB"/>
              </w:rPr>
              <w:t>Annual Target</w:t>
            </w:r>
          </w:p>
        </w:tc>
        <w:tc>
          <w:tcPr>
            <w:tcW w:w="1701" w:type="dxa"/>
            <w:shd w:val="clear" w:color="auto" w:fill="548DD4"/>
          </w:tcPr>
          <w:p w:rsidR="00B14373" w:rsidRPr="002A332E" w:rsidRDefault="00B14373" w:rsidP="00F83EE5">
            <w:pPr>
              <w:autoSpaceDE w:val="0"/>
              <w:autoSpaceDN w:val="0"/>
              <w:adjustRightInd w:val="0"/>
              <w:jc w:val="center"/>
              <w:rPr>
                <w:rFonts w:cs="Arial"/>
                <w:b/>
                <w:lang w:eastAsia="en-GB"/>
              </w:rPr>
            </w:pPr>
            <w:r>
              <w:rPr>
                <w:rFonts w:cs="Arial"/>
                <w:b/>
                <w:lang w:eastAsia="en-GB"/>
              </w:rPr>
              <w:t>Total</w:t>
            </w:r>
            <w:r w:rsidR="009838EC">
              <w:rPr>
                <w:rFonts w:cs="Arial"/>
                <w:b/>
                <w:lang w:eastAsia="en-GB"/>
              </w:rPr>
              <w:t xml:space="preserve"> </w:t>
            </w:r>
            <w:r w:rsidR="0039181F">
              <w:rPr>
                <w:rFonts w:cs="Arial"/>
                <w:b/>
                <w:lang w:eastAsia="en-GB"/>
              </w:rPr>
              <w:t>Achieved</w:t>
            </w:r>
          </w:p>
        </w:tc>
        <w:tc>
          <w:tcPr>
            <w:tcW w:w="3311" w:type="dxa"/>
            <w:shd w:val="clear" w:color="auto" w:fill="548DD4"/>
          </w:tcPr>
          <w:p w:rsidR="00B14373" w:rsidRPr="002A332E" w:rsidRDefault="00B14373" w:rsidP="00293121">
            <w:pPr>
              <w:autoSpaceDE w:val="0"/>
              <w:autoSpaceDN w:val="0"/>
              <w:adjustRightInd w:val="0"/>
              <w:jc w:val="center"/>
              <w:rPr>
                <w:rFonts w:cs="Arial"/>
                <w:b/>
                <w:lang w:eastAsia="en-GB"/>
              </w:rPr>
            </w:pPr>
            <w:r>
              <w:rPr>
                <w:rFonts w:cs="Arial"/>
                <w:b/>
                <w:lang w:eastAsia="en-GB"/>
              </w:rPr>
              <w:t>Comment</w:t>
            </w:r>
          </w:p>
        </w:tc>
      </w:tr>
      <w:tr w:rsidR="00B14373" w:rsidRPr="002A332E" w:rsidTr="00951391">
        <w:trPr>
          <w:trHeight w:val="1189"/>
        </w:trPr>
        <w:tc>
          <w:tcPr>
            <w:tcW w:w="1843" w:type="dxa"/>
            <w:shd w:val="clear" w:color="auto" w:fill="auto"/>
          </w:tcPr>
          <w:p w:rsidR="00B14373" w:rsidRPr="00951391" w:rsidRDefault="00951391" w:rsidP="000B234E">
            <w:pPr>
              <w:autoSpaceDE w:val="0"/>
              <w:autoSpaceDN w:val="0"/>
              <w:adjustRightInd w:val="0"/>
              <w:rPr>
                <w:rFonts w:cs="Arial"/>
                <w:lang w:eastAsia="en-GB"/>
              </w:rPr>
            </w:pPr>
            <w:r w:rsidRPr="00951391">
              <w:rPr>
                <w:bCs/>
              </w:rPr>
              <w:t>Number of social housing properties recovered and applications for housing stopped</w:t>
            </w:r>
          </w:p>
        </w:tc>
        <w:tc>
          <w:tcPr>
            <w:tcW w:w="1559" w:type="dxa"/>
          </w:tcPr>
          <w:p w:rsidR="00B14373" w:rsidRDefault="00B14373" w:rsidP="00293121">
            <w:pPr>
              <w:autoSpaceDE w:val="0"/>
              <w:autoSpaceDN w:val="0"/>
              <w:adjustRightInd w:val="0"/>
              <w:jc w:val="center"/>
              <w:rPr>
                <w:rFonts w:cs="Arial"/>
                <w:lang w:eastAsia="en-GB"/>
              </w:rPr>
            </w:pPr>
            <w:r>
              <w:rPr>
                <w:rFonts w:cs="Arial"/>
                <w:lang w:eastAsia="en-GB"/>
              </w:rPr>
              <w:t>2</w:t>
            </w:r>
            <w:r w:rsidR="00AE591A">
              <w:rPr>
                <w:rFonts w:cs="Arial"/>
                <w:lang w:eastAsia="en-GB"/>
              </w:rPr>
              <w:t>2</w:t>
            </w:r>
          </w:p>
        </w:tc>
        <w:tc>
          <w:tcPr>
            <w:tcW w:w="1701" w:type="dxa"/>
            <w:shd w:val="clear" w:color="auto" w:fill="auto"/>
          </w:tcPr>
          <w:p w:rsidR="00B14373" w:rsidRPr="002A332E" w:rsidRDefault="00355939" w:rsidP="004761D2">
            <w:pPr>
              <w:autoSpaceDE w:val="0"/>
              <w:autoSpaceDN w:val="0"/>
              <w:adjustRightInd w:val="0"/>
              <w:jc w:val="center"/>
              <w:rPr>
                <w:rFonts w:cs="Arial"/>
                <w:lang w:eastAsia="en-GB"/>
              </w:rPr>
            </w:pPr>
            <w:r>
              <w:rPr>
                <w:rFonts w:cs="Arial"/>
                <w:lang w:eastAsia="en-GB"/>
              </w:rPr>
              <w:t>38</w:t>
            </w:r>
          </w:p>
        </w:tc>
        <w:tc>
          <w:tcPr>
            <w:tcW w:w="3311" w:type="dxa"/>
            <w:shd w:val="clear" w:color="auto" w:fill="auto"/>
          </w:tcPr>
          <w:p w:rsidR="00B14373" w:rsidRPr="00365161" w:rsidRDefault="0039181F" w:rsidP="00355939">
            <w:pPr>
              <w:autoSpaceDE w:val="0"/>
              <w:autoSpaceDN w:val="0"/>
              <w:adjustRightInd w:val="0"/>
              <w:rPr>
                <w:rFonts w:cs="Arial"/>
                <w:lang w:eastAsia="en-GB"/>
              </w:rPr>
            </w:pPr>
            <w:r>
              <w:rPr>
                <w:rFonts w:cs="Arial"/>
                <w:lang w:eastAsia="en-GB"/>
              </w:rPr>
              <w:t>Target achieved</w:t>
            </w:r>
            <w:r w:rsidR="00967EDA">
              <w:rPr>
                <w:rFonts w:cs="Arial"/>
                <w:lang w:eastAsia="en-GB"/>
              </w:rPr>
              <w:t>- 1</w:t>
            </w:r>
            <w:r w:rsidR="00355939">
              <w:rPr>
                <w:rFonts w:cs="Arial"/>
                <w:lang w:eastAsia="en-GB"/>
              </w:rPr>
              <w:t>73</w:t>
            </w:r>
            <w:r w:rsidR="00967EDA">
              <w:rPr>
                <w:rFonts w:cs="Arial"/>
                <w:lang w:eastAsia="en-GB"/>
              </w:rPr>
              <w:t>%</w:t>
            </w:r>
          </w:p>
        </w:tc>
      </w:tr>
      <w:tr w:rsidR="00B14373" w:rsidRPr="002A332E" w:rsidTr="00951391">
        <w:tc>
          <w:tcPr>
            <w:tcW w:w="1843" w:type="dxa"/>
            <w:shd w:val="clear" w:color="auto" w:fill="auto"/>
          </w:tcPr>
          <w:p w:rsidR="00B14373" w:rsidRPr="00365161" w:rsidRDefault="00951391" w:rsidP="00C309D1">
            <w:pPr>
              <w:autoSpaceDE w:val="0"/>
              <w:autoSpaceDN w:val="0"/>
              <w:adjustRightInd w:val="0"/>
              <w:rPr>
                <w:rFonts w:cs="Arial"/>
                <w:lang w:eastAsia="en-GB"/>
              </w:rPr>
            </w:pPr>
            <w:r>
              <w:rPr>
                <w:bCs/>
              </w:rPr>
              <w:t>Achieve cost neutrality from identification of revenue through investigation activity</w:t>
            </w:r>
          </w:p>
        </w:tc>
        <w:tc>
          <w:tcPr>
            <w:tcW w:w="1559" w:type="dxa"/>
          </w:tcPr>
          <w:p w:rsidR="00B14373" w:rsidRDefault="00B14373" w:rsidP="00355939">
            <w:pPr>
              <w:autoSpaceDE w:val="0"/>
              <w:autoSpaceDN w:val="0"/>
              <w:adjustRightInd w:val="0"/>
              <w:jc w:val="center"/>
              <w:rPr>
                <w:rFonts w:cs="Arial"/>
                <w:lang w:eastAsia="en-GB"/>
              </w:rPr>
            </w:pPr>
            <w:r>
              <w:rPr>
                <w:rFonts w:cs="Arial"/>
                <w:lang w:eastAsia="en-GB"/>
              </w:rPr>
              <w:t>£</w:t>
            </w:r>
            <w:r w:rsidR="00355939">
              <w:rPr>
                <w:rFonts w:cs="Arial"/>
                <w:lang w:eastAsia="en-GB"/>
              </w:rPr>
              <w:t>500,000</w:t>
            </w:r>
          </w:p>
        </w:tc>
        <w:tc>
          <w:tcPr>
            <w:tcW w:w="1701" w:type="dxa"/>
            <w:shd w:val="clear" w:color="auto" w:fill="auto"/>
          </w:tcPr>
          <w:p w:rsidR="00B14373" w:rsidRPr="00CF67F4" w:rsidRDefault="0039181F" w:rsidP="00257142">
            <w:pPr>
              <w:autoSpaceDE w:val="0"/>
              <w:autoSpaceDN w:val="0"/>
              <w:adjustRightInd w:val="0"/>
              <w:ind w:left="295" w:hanging="399"/>
              <w:jc w:val="center"/>
              <w:rPr>
                <w:rFonts w:cs="Arial"/>
                <w:lang w:eastAsia="en-GB"/>
              </w:rPr>
            </w:pPr>
            <w:r>
              <w:rPr>
                <w:rFonts w:cs="Arial"/>
                <w:lang w:eastAsia="en-GB"/>
              </w:rPr>
              <w:t>£</w:t>
            </w:r>
            <w:r w:rsidR="00EA3AE4">
              <w:rPr>
                <w:rFonts w:cs="Arial"/>
                <w:lang w:eastAsia="en-GB"/>
              </w:rPr>
              <w:t>605,0</w:t>
            </w:r>
            <w:r w:rsidR="00C2724A">
              <w:rPr>
                <w:rFonts w:cs="Arial"/>
                <w:lang w:eastAsia="en-GB"/>
              </w:rPr>
              <w:t>7</w:t>
            </w:r>
            <w:r w:rsidR="00EA3AE4">
              <w:rPr>
                <w:rFonts w:cs="Arial"/>
                <w:lang w:eastAsia="en-GB"/>
              </w:rPr>
              <w:t>0</w:t>
            </w:r>
          </w:p>
          <w:p w:rsidR="00AE11F0" w:rsidRPr="002A332E" w:rsidRDefault="00AE11F0" w:rsidP="005A30DF">
            <w:pPr>
              <w:autoSpaceDE w:val="0"/>
              <w:autoSpaceDN w:val="0"/>
              <w:adjustRightInd w:val="0"/>
              <w:ind w:left="34"/>
              <w:rPr>
                <w:rFonts w:cs="Arial"/>
                <w:lang w:eastAsia="en-GB"/>
              </w:rPr>
            </w:pPr>
          </w:p>
        </w:tc>
        <w:tc>
          <w:tcPr>
            <w:tcW w:w="3311" w:type="dxa"/>
            <w:shd w:val="clear" w:color="auto" w:fill="auto"/>
          </w:tcPr>
          <w:p w:rsidR="00B14373" w:rsidRPr="002A332E" w:rsidRDefault="00B14373" w:rsidP="00C2724A">
            <w:pPr>
              <w:autoSpaceDE w:val="0"/>
              <w:autoSpaceDN w:val="0"/>
              <w:adjustRightInd w:val="0"/>
              <w:rPr>
                <w:rFonts w:cs="Arial"/>
                <w:lang w:eastAsia="en-GB"/>
              </w:rPr>
            </w:pPr>
            <w:r>
              <w:rPr>
                <w:rFonts w:cs="Arial"/>
                <w:lang w:eastAsia="en-GB"/>
              </w:rPr>
              <w:t>See Table 2 for breakdown</w:t>
            </w:r>
            <w:r w:rsidR="00967EDA">
              <w:rPr>
                <w:rFonts w:cs="Arial"/>
                <w:lang w:eastAsia="en-GB"/>
              </w:rPr>
              <w:t xml:space="preserve"> </w:t>
            </w:r>
            <w:r w:rsidR="00F40B43">
              <w:rPr>
                <w:rFonts w:cs="Arial"/>
                <w:lang w:eastAsia="en-GB"/>
              </w:rPr>
              <w:t xml:space="preserve"> - 1</w:t>
            </w:r>
            <w:r w:rsidR="00C2724A">
              <w:rPr>
                <w:rFonts w:cs="Arial"/>
                <w:lang w:eastAsia="en-GB"/>
              </w:rPr>
              <w:t>21</w:t>
            </w:r>
            <w:r w:rsidR="00F40B43">
              <w:rPr>
                <w:rFonts w:cs="Arial"/>
                <w:lang w:eastAsia="en-GB"/>
              </w:rPr>
              <w:t>% of target achieved</w:t>
            </w:r>
          </w:p>
        </w:tc>
      </w:tr>
      <w:tr w:rsidR="00B14373" w:rsidRPr="002A332E" w:rsidTr="00951391">
        <w:tc>
          <w:tcPr>
            <w:tcW w:w="1843" w:type="dxa"/>
            <w:shd w:val="clear" w:color="auto" w:fill="auto"/>
          </w:tcPr>
          <w:p w:rsidR="00B14373" w:rsidRDefault="00951391" w:rsidP="00293121">
            <w:pPr>
              <w:autoSpaceDE w:val="0"/>
              <w:autoSpaceDN w:val="0"/>
              <w:adjustRightInd w:val="0"/>
              <w:rPr>
                <w:bCs/>
              </w:rPr>
            </w:pPr>
            <w:r>
              <w:rPr>
                <w:bCs/>
              </w:rPr>
              <w:t>Prevent financial losses to the Council through investigation activity</w:t>
            </w:r>
          </w:p>
        </w:tc>
        <w:tc>
          <w:tcPr>
            <w:tcW w:w="1559" w:type="dxa"/>
          </w:tcPr>
          <w:p w:rsidR="00B14373" w:rsidRDefault="00951391" w:rsidP="00355939">
            <w:pPr>
              <w:autoSpaceDE w:val="0"/>
              <w:autoSpaceDN w:val="0"/>
              <w:adjustRightInd w:val="0"/>
              <w:jc w:val="center"/>
              <w:rPr>
                <w:rFonts w:cs="Arial"/>
                <w:lang w:eastAsia="en-GB"/>
              </w:rPr>
            </w:pPr>
            <w:r>
              <w:rPr>
                <w:rFonts w:cs="Arial"/>
                <w:lang w:eastAsia="en-GB"/>
              </w:rPr>
              <w:t>£1,</w:t>
            </w:r>
            <w:r w:rsidR="00355939">
              <w:rPr>
                <w:rFonts w:cs="Arial"/>
                <w:lang w:eastAsia="en-GB"/>
              </w:rPr>
              <w:t>80</w:t>
            </w:r>
            <w:r>
              <w:rPr>
                <w:rFonts w:cs="Arial"/>
                <w:lang w:eastAsia="en-GB"/>
              </w:rPr>
              <w:t>0,000</w:t>
            </w:r>
          </w:p>
        </w:tc>
        <w:tc>
          <w:tcPr>
            <w:tcW w:w="1701" w:type="dxa"/>
            <w:shd w:val="clear" w:color="auto" w:fill="auto"/>
          </w:tcPr>
          <w:p w:rsidR="00B14373" w:rsidRDefault="007E51E2" w:rsidP="00C2724A">
            <w:pPr>
              <w:autoSpaceDE w:val="0"/>
              <w:autoSpaceDN w:val="0"/>
              <w:adjustRightInd w:val="0"/>
              <w:ind w:left="-15" w:hanging="89"/>
              <w:jc w:val="center"/>
              <w:rPr>
                <w:rFonts w:cs="Arial"/>
                <w:lang w:eastAsia="en-GB"/>
              </w:rPr>
            </w:pPr>
            <w:r>
              <w:rPr>
                <w:rFonts w:cs="Arial"/>
                <w:lang w:eastAsia="en-GB"/>
              </w:rPr>
              <w:t>£</w:t>
            </w:r>
            <w:r w:rsidR="00F40B43">
              <w:rPr>
                <w:rFonts w:cs="Arial"/>
                <w:lang w:eastAsia="en-GB"/>
              </w:rPr>
              <w:t>2,932,38</w:t>
            </w:r>
            <w:r w:rsidR="00C2724A">
              <w:rPr>
                <w:rFonts w:cs="Arial"/>
                <w:lang w:eastAsia="en-GB"/>
              </w:rPr>
              <w:t>4</w:t>
            </w:r>
          </w:p>
        </w:tc>
        <w:tc>
          <w:tcPr>
            <w:tcW w:w="3311" w:type="dxa"/>
            <w:shd w:val="clear" w:color="auto" w:fill="auto"/>
          </w:tcPr>
          <w:p w:rsidR="00B14373" w:rsidRDefault="007E51E2" w:rsidP="00F40B43">
            <w:pPr>
              <w:autoSpaceDE w:val="0"/>
              <w:autoSpaceDN w:val="0"/>
              <w:adjustRightInd w:val="0"/>
              <w:rPr>
                <w:rFonts w:cs="Arial"/>
                <w:lang w:eastAsia="en-GB"/>
              </w:rPr>
            </w:pPr>
            <w:r w:rsidRPr="007E51E2">
              <w:rPr>
                <w:rFonts w:cs="Arial"/>
                <w:lang w:eastAsia="en-GB"/>
              </w:rPr>
              <w:t>See Table 2 for breakdown</w:t>
            </w:r>
            <w:r w:rsidR="00F05585">
              <w:rPr>
                <w:rFonts w:cs="Arial"/>
                <w:lang w:eastAsia="en-GB"/>
              </w:rPr>
              <w:t>- 1</w:t>
            </w:r>
            <w:r w:rsidR="00F40B43">
              <w:rPr>
                <w:rFonts w:cs="Arial"/>
                <w:lang w:eastAsia="en-GB"/>
              </w:rPr>
              <w:t>63</w:t>
            </w:r>
            <w:r w:rsidR="00F05585">
              <w:rPr>
                <w:rFonts w:cs="Arial"/>
                <w:lang w:eastAsia="en-GB"/>
              </w:rPr>
              <w:t>% of target achieved</w:t>
            </w:r>
          </w:p>
        </w:tc>
      </w:tr>
      <w:tr w:rsidR="007E51E2" w:rsidRPr="002A332E" w:rsidTr="00951391">
        <w:tc>
          <w:tcPr>
            <w:tcW w:w="1843" w:type="dxa"/>
            <w:shd w:val="clear" w:color="auto" w:fill="auto"/>
          </w:tcPr>
          <w:p w:rsidR="007E51E2" w:rsidRDefault="00F40B43" w:rsidP="007E51E2">
            <w:pPr>
              <w:autoSpaceDE w:val="0"/>
              <w:autoSpaceDN w:val="0"/>
              <w:adjustRightInd w:val="0"/>
              <w:rPr>
                <w:bCs/>
              </w:rPr>
            </w:pPr>
            <w:r>
              <w:rPr>
                <w:bCs/>
              </w:rPr>
              <w:t>Right to Buy Applications prevented</w:t>
            </w:r>
            <w:r w:rsidR="007E51E2">
              <w:rPr>
                <w:bCs/>
              </w:rPr>
              <w:t xml:space="preserve"> </w:t>
            </w:r>
            <w:r>
              <w:rPr>
                <w:bCs/>
              </w:rPr>
              <w:t>(false or irregular)</w:t>
            </w:r>
          </w:p>
        </w:tc>
        <w:tc>
          <w:tcPr>
            <w:tcW w:w="1559" w:type="dxa"/>
          </w:tcPr>
          <w:p w:rsidR="007E51E2" w:rsidRDefault="00F40B43" w:rsidP="00293121">
            <w:pPr>
              <w:autoSpaceDE w:val="0"/>
              <w:autoSpaceDN w:val="0"/>
              <w:adjustRightInd w:val="0"/>
              <w:jc w:val="center"/>
              <w:rPr>
                <w:rFonts w:cs="Arial"/>
                <w:lang w:eastAsia="en-GB"/>
              </w:rPr>
            </w:pPr>
            <w:r>
              <w:rPr>
                <w:rFonts w:cs="Arial"/>
                <w:lang w:eastAsia="en-GB"/>
              </w:rPr>
              <w:t>20% of applications received</w:t>
            </w:r>
          </w:p>
        </w:tc>
        <w:tc>
          <w:tcPr>
            <w:tcW w:w="1701" w:type="dxa"/>
            <w:shd w:val="clear" w:color="auto" w:fill="auto"/>
          </w:tcPr>
          <w:p w:rsidR="007E51E2" w:rsidRDefault="00F40B43" w:rsidP="00BA4032">
            <w:pPr>
              <w:autoSpaceDE w:val="0"/>
              <w:autoSpaceDN w:val="0"/>
              <w:adjustRightInd w:val="0"/>
              <w:ind w:left="-15" w:hanging="89"/>
              <w:jc w:val="center"/>
              <w:rPr>
                <w:rFonts w:cs="Arial"/>
                <w:lang w:eastAsia="en-GB"/>
              </w:rPr>
            </w:pPr>
            <w:r>
              <w:rPr>
                <w:rFonts w:cs="Arial"/>
                <w:lang w:eastAsia="en-GB"/>
              </w:rPr>
              <w:t>25%</w:t>
            </w:r>
          </w:p>
        </w:tc>
        <w:tc>
          <w:tcPr>
            <w:tcW w:w="3311" w:type="dxa"/>
            <w:shd w:val="clear" w:color="auto" w:fill="auto"/>
          </w:tcPr>
          <w:p w:rsidR="007E51E2" w:rsidRPr="007E51E2" w:rsidRDefault="00E145FC" w:rsidP="00F835F0">
            <w:pPr>
              <w:autoSpaceDE w:val="0"/>
              <w:autoSpaceDN w:val="0"/>
              <w:adjustRightInd w:val="0"/>
              <w:rPr>
                <w:rFonts w:cs="Arial"/>
                <w:lang w:eastAsia="en-GB"/>
              </w:rPr>
            </w:pPr>
            <w:r>
              <w:rPr>
                <w:rFonts w:cs="Arial"/>
                <w:lang w:eastAsia="en-GB"/>
              </w:rPr>
              <w:t>23 applications prevented of 93 received in the period</w:t>
            </w:r>
          </w:p>
        </w:tc>
      </w:tr>
      <w:tr w:rsidR="00F40B43" w:rsidRPr="002A332E" w:rsidTr="00951391">
        <w:tc>
          <w:tcPr>
            <w:tcW w:w="1843" w:type="dxa"/>
            <w:shd w:val="clear" w:color="auto" w:fill="auto"/>
          </w:tcPr>
          <w:p w:rsidR="00F40B43" w:rsidRDefault="00F40B43" w:rsidP="007E51E2">
            <w:pPr>
              <w:autoSpaceDE w:val="0"/>
              <w:autoSpaceDN w:val="0"/>
              <w:adjustRightInd w:val="0"/>
              <w:rPr>
                <w:bCs/>
              </w:rPr>
            </w:pPr>
            <w:r>
              <w:rPr>
                <w:bCs/>
              </w:rPr>
              <w:t>Trading Income from commercial activity</w:t>
            </w:r>
          </w:p>
        </w:tc>
        <w:tc>
          <w:tcPr>
            <w:tcW w:w="1559" w:type="dxa"/>
          </w:tcPr>
          <w:p w:rsidR="00F40B43" w:rsidRDefault="00E145FC" w:rsidP="00293121">
            <w:pPr>
              <w:autoSpaceDE w:val="0"/>
              <w:autoSpaceDN w:val="0"/>
              <w:adjustRightInd w:val="0"/>
              <w:jc w:val="center"/>
              <w:rPr>
                <w:rFonts w:cs="Arial"/>
                <w:lang w:eastAsia="en-GB"/>
              </w:rPr>
            </w:pPr>
            <w:r>
              <w:rPr>
                <w:rFonts w:cs="Arial"/>
                <w:lang w:eastAsia="en-GB"/>
              </w:rPr>
              <w:t>£60,000</w:t>
            </w:r>
          </w:p>
        </w:tc>
        <w:tc>
          <w:tcPr>
            <w:tcW w:w="1701" w:type="dxa"/>
            <w:shd w:val="clear" w:color="auto" w:fill="auto"/>
          </w:tcPr>
          <w:p w:rsidR="00F40B43" w:rsidRDefault="00E145FC" w:rsidP="00440973">
            <w:pPr>
              <w:autoSpaceDE w:val="0"/>
              <w:autoSpaceDN w:val="0"/>
              <w:adjustRightInd w:val="0"/>
              <w:ind w:left="-15" w:hanging="89"/>
              <w:jc w:val="center"/>
              <w:rPr>
                <w:rFonts w:cs="Arial"/>
                <w:lang w:eastAsia="en-GB"/>
              </w:rPr>
            </w:pPr>
            <w:r>
              <w:rPr>
                <w:rFonts w:cs="Arial"/>
                <w:lang w:eastAsia="en-GB"/>
              </w:rPr>
              <w:t>£</w:t>
            </w:r>
            <w:r w:rsidR="00440973">
              <w:rPr>
                <w:rFonts w:cs="Arial"/>
                <w:lang w:eastAsia="en-GB"/>
              </w:rPr>
              <w:t>181,388</w:t>
            </w:r>
          </w:p>
        </w:tc>
        <w:tc>
          <w:tcPr>
            <w:tcW w:w="3311" w:type="dxa"/>
            <w:shd w:val="clear" w:color="auto" w:fill="auto"/>
          </w:tcPr>
          <w:p w:rsidR="00F40B43" w:rsidRPr="007E51E2" w:rsidRDefault="00E145FC" w:rsidP="00F835F0">
            <w:pPr>
              <w:autoSpaceDE w:val="0"/>
              <w:autoSpaceDN w:val="0"/>
              <w:adjustRightInd w:val="0"/>
              <w:rPr>
                <w:rFonts w:cs="Arial"/>
                <w:lang w:eastAsia="en-GB"/>
              </w:rPr>
            </w:pPr>
            <w:r>
              <w:rPr>
                <w:rFonts w:cs="Arial"/>
                <w:lang w:eastAsia="en-GB"/>
              </w:rPr>
              <w:t>Value invoiced in the period</w:t>
            </w:r>
            <w:r w:rsidR="00440973">
              <w:rPr>
                <w:rFonts w:cs="Arial"/>
                <w:lang w:eastAsia="en-GB"/>
              </w:rPr>
              <w:t>. 302% ahead of target.</w:t>
            </w:r>
          </w:p>
        </w:tc>
      </w:tr>
    </w:tbl>
    <w:p w:rsidR="004D2AC1" w:rsidRDefault="004D2AC1" w:rsidP="00036F46">
      <w:pPr>
        <w:rPr>
          <w:rFonts w:cs="Arial"/>
        </w:rPr>
      </w:pPr>
    </w:p>
    <w:p w:rsidR="00A071B3" w:rsidRDefault="00A071B3" w:rsidP="00036F46">
      <w:pPr>
        <w:rPr>
          <w:rFonts w:cs="Arial"/>
        </w:rPr>
      </w:pPr>
    </w:p>
    <w:p w:rsidR="004D2AC1" w:rsidRDefault="004D2AC1" w:rsidP="00036F46">
      <w:pPr>
        <w:rPr>
          <w:rFonts w:cs="Arial"/>
        </w:rPr>
      </w:pPr>
    </w:p>
    <w:p w:rsidR="004D2AC1" w:rsidRDefault="004D2AC1" w:rsidP="00036F46">
      <w:pPr>
        <w:rPr>
          <w:rFonts w:cs="Arial"/>
        </w:rPr>
      </w:pPr>
    </w:p>
    <w:p w:rsidR="004D2AC1" w:rsidRDefault="004D2AC1" w:rsidP="00036F46">
      <w:pPr>
        <w:rPr>
          <w:rFonts w:cs="Arial"/>
        </w:rPr>
      </w:pPr>
    </w:p>
    <w:p w:rsidR="004D2AC1" w:rsidRDefault="004D2AC1" w:rsidP="00036F46">
      <w:pPr>
        <w:rPr>
          <w:rFonts w:cs="Arial"/>
        </w:rPr>
      </w:pPr>
    </w:p>
    <w:p w:rsidR="004D2AC1" w:rsidRDefault="004D2AC1" w:rsidP="00036F46">
      <w:pPr>
        <w:rPr>
          <w:rFonts w:cs="Arial"/>
        </w:rPr>
      </w:pPr>
    </w:p>
    <w:p w:rsidR="004D2AC1" w:rsidRDefault="004D2AC1" w:rsidP="00036F46">
      <w:pPr>
        <w:rPr>
          <w:rFonts w:cs="Arial"/>
        </w:rPr>
      </w:pPr>
    </w:p>
    <w:p w:rsidR="004D2AC1" w:rsidRDefault="004D2AC1" w:rsidP="00036F46">
      <w:pPr>
        <w:rPr>
          <w:rFonts w:cs="Arial"/>
        </w:rPr>
      </w:pPr>
    </w:p>
    <w:p w:rsidR="004D2AC1" w:rsidRDefault="004D2AC1" w:rsidP="00036F46">
      <w:pPr>
        <w:rPr>
          <w:rFonts w:cs="Arial"/>
        </w:rPr>
      </w:pPr>
    </w:p>
    <w:p w:rsidR="004D2AC1" w:rsidRDefault="004D2AC1" w:rsidP="00036F46">
      <w:pPr>
        <w:rPr>
          <w:rFonts w:cs="Arial"/>
        </w:rPr>
      </w:pPr>
    </w:p>
    <w:p w:rsidR="002513A0" w:rsidRPr="00A314C9" w:rsidRDefault="001C2BEE" w:rsidP="00A314C9">
      <w:pPr>
        <w:pStyle w:val="ListParagraph"/>
        <w:numPr>
          <w:ilvl w:val="0"/>
          <w:numId w:val="2"/>
        </w:numPr>
        <w:rPr>
          <w:rFonts w:cs="Arial"/>
        </w:rPr>
      </w:pPr>
      <w:r>
        <w:rPr>
          <w:rFonts w:cs="Arial"/>
        </w:rPr>
        <w:t>T</w:t>
      </w:r>
      <w:r w:rsidR="00A314C9">
        <w:rPr>
          <w:rFonts w:cs="Arial"/>
        </w:rPr>
        <w:t xml:space="preserve">able </w:t>
      </w:r>
      <w:r>
        <w:rPr>
          <w:rFonts w:cs="Arial"/>
        </w:rPr>
        <w:t xml:space="preserve">2 </w:t>
      </w:r>
      <w:r w:rsidR="00A314C9">
        <w:rPr>
          <w:rFonts w:cs="Arial"/>
        </w:rPr>
        <w:t xml:space="preserve">below </w:t>
      </w:r>
      <w:r>
        <w:rPr>
          <w:rFonts w:cs="Arial"/>
        </w:rPr>
        <w:t xml:space="preserve">provides </w:t>
      </w:r>
      <w:r w:rsidR="0060790A">
        <w:rPr>
          <w:rFonts w:cs="Arial"/>
        </w:rPr>
        <w:t>a breakdown</w:t>
      </w:r>
      <w:r>
        <w:rPr>
          <w:rFonts w:cs="Arial"/>
        </w:rPr>
        <w:t xml:space="preserve"> of the </w:t>
      </w:r>
      <w:r w:rsidR="00775048">
        <w:rPr>
          <w:rFonts w:cs="Arial"/>
        </w:rPr>
        <w:t>income recovered</w:t>
      </w:r>
      <w:r w:rsidR="0060790A">
        <w:rPr>
          <w:rFonts w:cs="Arial"/>
        </w:rPr>
        <w:t xml:space="preserve"> or generated,</w:t>
      </w:r>
      <w:r w:rsidR="00775048">
        <w:rPr>
          <w:rFonts w:cs="Arial"/>
        </w:rPr>
        <w:t xml:space="preserve"> and loss</w:t>
      </w:r>
      <w:r w:rsidR="0060790A">
        <w:rPr>
          <w:rFonts w:cs="Arial"/>
        </w:rPr>
        <w:t xml:space="preserve">es prevented </w:t>
      </w:r>
      <w:r w:rsidR="00775048">
        <w:rPr>
          <w:rFonts w:cs="Arial"/>
        </w:rPr>
        <w:t>by the Team</w:t>
      </w:r>
      <w:r w:rsidR="001878F4">
        <w:rPr>
          <w:rFonts w:cs="Arial"/>
        </w:rPr>
        <w:t>.</w:t>
      </w:r>
    </w:p>
    <w:p w:rsidR="00AA3834" w:rsidRDefault="00AA3834" w:rsidP="00C10750">
      <w:pPr>
        <w:rPr>
          <w:rFonts w:cs="Arial"/>
        </w:rPr>
      </w:pPr>
    </w:p>
    <w:tbl>
      <w:tblPr>
        <w:tblStyle w:val="TableGrid"/>
        <w:tblW w:w="0" w:type="auto"/>
        <w:tblLook w:val="04A0" w:firstRow="1" w:lastRow="0" w:firstColumn="1" w:lastColumn="0" w:noHBand="0" w:noVBand="1"/>
      </w:tblPr>
      <w:tblGrid>
        <w:gridCol w:w="2006"/>
        <w:gridCol w:w="1587"/>
        <w:gridCol w:w="1617"/>
        <w:gridCol w:w="3312"/>
      </w:tblGrid>
      <w:tr w:rsidR="006C3AED" w:rsidRPr="006C3AED" w:rsidTr="00043176">
        <w:tc>
          <w:tcPr>
            <w:tcW w:w="8522" w:type="dxa"/>
            <w:gridSpan w:val="4"/>
            <w:shd w:val="clear" w:color="auto" w:fill="C6D9F1" w:themeFill="text2" w:themeFillTint="33"/>
          </w:tcPr>
          <w:p w:rsidR="006C3AED" w:rsidRPr="006C3AED" w:rsidRDefault="006C3AED" w:rsidP="004126CD">
            <w:pPr>
              <w:rPr>
                <w:rFonts w:cs="Arial"/>
                <w:b/>
              </w:rPr>
            </w:pPr>
            <w:r>
              <w:rPr>
                <w:rFonts w:cs="Arial"/>
                <w:b/>
              </w:rPr>
              <w:t xml:space="preserve">Table 2 – </w:t>
            </w:r>
            <w:r w:rsidR="00547A3E">
              <w:rPr>
                <w:rFonts w:cs="Arial"/>
                <w:b/>
              </w:rPr>
              <w:t>Income generated and losses prevented f</w:t>
            </w:r>
            <w:r>
              <w:rPr>
                <w:rFonts w:cs="Arial"/>
                <w:b/>
              </w:rPr>
              <w:t>rom 01 April 201</w:t>
            </w:r>
            <w:r w:rsidR="004126CD">
              <w:rPr>
                <w:rFonts w:cs="Arial"/>
                <w:b/>
              </w:rPr>
              <w:t>7</w:t>
            </w:r>
            <w:r>
              <w:rPr>
                <w:rFonts w:cs="Arial"/>
                <w:b/>
              </w:rPr>
              <w:t xml:space="preserve"> to 31 March 201</w:t>
            </w:r>
            <w:r w:rsidR="004126CD">
              <w:rPr>
                <w:rFonts w:cs="Arial"/>
                <w:b/>
              </w:rPr>
              <w:t>8</w:t>
            </w:r>
          </w:p>
        </w:tc>
      </w:tr>
      <w:tr w:rsidR="006C3AED" w:rsidRPr="006C3AED" w:rsidTr="00A1201F">
        <w:tc>
          <w:tcPr>
            <w:tcW w:w="2006" w:type="dxa"/>
            <w:shd w:val="clear" w:color="auto" w:fill="C6D9F1" w:themeFill="text2" w:themeFillTint="33"/>
          </w:tcPr>
          <w:p w:rsidR="006C3AED" w:rsidRPr="006C3AED" w:rsidRDefault="006C3AED" w:rsidP="006C3AED">
            <w:pPr>
              <w:rPr>
                <w:rFonts w:cs="Arial"/>
                <w:b/>
              </w:rPr>
            </w:pPr>
          </w:p>
        </w:tc>
        <w:tc>
          <w:tcPr>
            <w:tcW w:w="1587" w:type="dxa"/>
            <w:shd w:val="clear" w:color="auto" w:fill="C6D9F1" w:themeFill="text2" w:themeFillTint="33"/>
          </w:tcPr>
          <w:p w:rsidR="006C3AED" w:rsidRPr="006C3AED" w:rsidRDefault="006C3AED" w:rsidP="006C3AED">
            <w:pPr>
              <w:rPr>
                <w:rFonts w:cs="Arial"/>
                <w:b/>
              </w:rPr>
            </w:pPr>
            <w:r w:rsidRPr="006C3AED">
              <w:rPr>
                <w:rFonts w:cs="Arial"/>
                <w:b/>
              </w:rPr>
              <w:t>Income</w:t>
            </w:r>
          </w:p>
        </w:tc>
        <w:tc>
          <w:tcPr>
            <w:tcW w:w="1617" w:type="dxa"/>
            <w:shd w:val="clear" w:color="auto" w:fill="C6D9F1" w:themeFill="text2" w:themeFillTint="33"/>
          </w:tcPr>
          <w:p w:rsidR="006C3AED" w:rsidRPr="006C3AED" w:rsidRDefault="006C3AED" w:rsidP="006C3AED">
            <w:pPr>
              <w:rPr>
                <w:rFonts w:cs="Arial"/>
                <w:b/>
              </w:rPr>
            </w:pPr>
            <w:r w:rsidRPr="006C3AED">
              <w:rPr>
                <w:rFonts w:cs="Arial"/>
                <w:b/>
              </w:rPr>
              <w:t>Loss</w:t>
            </w:r>
          </w:p>
        </w:tc>
        <w:tc>
          <w:tcPr>
            <w:tcW w:w="3312" w:type="dxa"/>
            <w:shd w:val="clear" w:color="auto" w:fill="C6D9F1" w:themeFill="text2" w:themeFillTint="33"/>
          </w:tcPr>
          <w:p w:rsidR="006C3AED" w:rsidRPr="006C3AED" w:rsidRDefault="006C3AED" w:rsidP="006C3AED">
            <w:pPr>
              <w:rPr>
                <w:rFonts w:cs="Arial"/>
                <w:b/>
              </w:rPr>
            </w:pPr>
          </w:p>
        </w:tc>
      </w:tr>
      <w:tr w:rsidR="006C3AED" w:rsidRPr="006C3AED" w:rsidTr="00A1201F">
        <w:tc>
          <w:tcPr>
            <w:tcW w:w="2006" w:type="dxa"/>
            <w:shd w:val="clear" w:color="auto" w:fill="C6D9F1" w:themeFill="text2" w:themeFillTint="33"/>
          </w:tcPr>
          <w:p w:rsidR="006C3AED" w:rsidRPr="006C3AED" w:rsidRDefault="006C3AED" w:rsidP="006C3AED">
            <w:pPr>
              <w:rPr>
                <w:rFonts w:cs="Arial"/>
                <w:b/>
              </w:rPr>
            </w:pPr>
          </w:p>
        </w:tc>
        <w:tc>
          <w:tcPr>
            <w:tcW w:w="1587" w:type="dxa"/>
            <w:shd w:val="clear" w:color="auto" w:fill="C6D9F1" w:themeFill="text2" w:themeFillTint="33"/>
          </w:tcPr>
          <w:p w:rsidR="006C3AED" w:rsidRPr="006C3AED" w:rsidRDefault="006C3AED" w:rsidP="006C3AED">
            <w:pPr>
              <w:rPr>
                <w:rFonts w:cs="Arial"/>
                <w:b/>
              </w:rPr>
            </w:pPr>
            <w:r w:rsidRPr="006C3AED">
              <w:rPr>
                <w:rFonts w:cs="Arial"/>
                <w:b/>
              </w:rPr>
              <w:t>Generated</w:t>
            </w:r>
          </w:p>
        </w:tc>
        <w:tc>
          <w:tcPr>
            <w:tcW w:w="1617" w:type="dxa"/>
            <w:shd w:val="clear" w:color="auto" w:fill="C6D9F1" w:themeFill="text2" w:themeFillTint="33"/>
          </w:tcPr>
          <w:p w:rsidR="006C3AED" w:rsidRPr="006C3AED" w:rsidRDefault="006C3AED" w:rsidP="006C3AED">
            <w:pPr>
              <w:rPr>
                <w:rFonts w:cs="Arial"/>
                <w:b/>
              </w:rPr>
            </w:pPr>
            <w:r w:rsidRPr="006C3AED">
              <w:rPr>
                <w:rFonts w:cs="Arial"/>
                <w:b/>
              </w:rPr>
              <w:t>Avoidance</w:t>
            </w:r>
          </w:p>
        </w:tc>
        <w:tc>
          <w:tcPr>
            <w:tcW w:w="3312" w:type="dxa"/>
            <w:shd w:val="clear" w:color="auto" w:fill="C6D9F1" w:themeFill="text2" w:themeFillTint="33"/>
          </w:tcPr>
          <w:p w:rsidR="006C3AED" w:rsidRPr="006C3AED" w:rsidRDefault="006C3AED" w:rsidP="006C3AED">
            <w:pPr>
              <w:rPr>
                <w:rFonts w:cs="Arial"/>
                <w:b/>
              </w:rPr>
            </w:pPr>
            <w:r w:rsidRPr="006C3AED">
              <w:rPr>
                <w:rFonts w:cs="Arial"/>
                <w:b/>
              </w:rPr>
              <w:t>Comment</w:t>
            </w:r>
          </w:p>
        </w:tc>
      </w:tr>
      <w:tr w:rsidR="006C3AED" w:rsidRPr="006C3AED" w:rsidTr="00A1201F">
        <w:tc>
          <w:tcPr>
            <w:tcW w:w="2006" w:type="dxa"/>
          </w:tcPr>
          <w:p w:rsidR="006C3AED" w:rsidRPr="006C3AED" w:rsidRDefault="006C3AED" w:rsidP="006C3AED">
            <w:pPr>
              <w:rPr>
                <w:rFonts w:cs="Arial"/>
                <w:b/>
              </w:rPr>
            </w:pPr>
          </w:p>
        </w:tc>
        <w:tc>
          <w:tcPr>
            <w:tcW w:w="1587" w:type="dxa"/>
          </w:tcPr>
          <w:p w:rsidR="006C3AED" w:rsidRPr="006C3AED" w:rsidRDefault="006C3AED" w:rsidP="006C3AED">
            <w:pPr>
              <w:rPr>
                <w:rFonts w:cs="Arial"/>
                <w:b/>
              </w:rPr>
            </w:pPr>
            <w:r w:rsidRPr="006C3AED">
              <w:rPr>
                <w:rFonts w:cs="Arial"/>
                <w:b/>
              </w:rPr>
              <w:t>£</w:t>
            </w:r>
          </w:p>
        </w:tc>
        <w:tc>
          <w:tcPr>
            <w:tcW w:w="1617" w:type="dxa"/>
          </w:tcPr>
          <w:p w:rsidR="006C3AED" w:rsidRPr="006C3AED" w:rsidRDefault="006C3AED" w:rsidP="006C3AED">
            <w:pPr>
              <w:rPr>
                <w:rFonts w:cs="Arial"/>
                <w:b/>
              </w:rPr>
            </w:pPr>
            <w:r w:rsidRPr="006C3AED">
              <w:rPr>
                <w:rFonts w:cs="Arial"/>
                <w:b/>
              </w:rPr>
              <w:t>£</w:t>
            </w:r>
          </w:p>
        </w:tc>
        <w:tc>
          <w:tcPr>
            <w:tcW w:w="3312" w:type="dxa"/>
          </w:tcPr>
          <w:p w:rsidR="006C3AED" w:rsidRPr="006C3AED" w:rsidRDefault="006C3AED" w:rsidP="006C3AED">
            <w:pPr>
              <w:rPr>
                <w:rFonts w:cs="Arial"/>
                <w:b/>
              </w:rPr>
            </w:pPr>
          </w:p>
        </w:tc>
      </w:tr>
      <w:tr w:rsidR="006C3AED" w:rsidRPr="006C3AED" w:rsidTr="00A1201F">
        <w:tc>
          <w:tcPr>
            <w:tcW w:w="2006" w:type="dxa"/>
          </w:tcPr>
          <w:p w:rsidR="006C3AED" w:rsidRPr="006C3AED" w:rsidRDefault="006C3AED" w:rsidP="006C3AED">
            <w:pPr>
              <w:rPr>
                <w:rFonts w:cs="Arial"/>
              </w:rPr>
            </w:pPr>
            <w:r w:rsidRPr="006C3AED">
              <w:rPr>
                <w:rFonts w:cs="Arial"/>
              </w:rPr>
              <w:t>Council Tax Reduction Scheme</w:t>
            </w:r>
          </w:p>
        </w:tc>
        <w:tc>
          <w:tcPr>
            <w:tcW w:w="1587" w:type="dxa"/>
          </w:tcPr>
          <w:p w:rsidR="006C3AED" w:rsidRPr="006C3AED" w:rsidRDefault="00415C75" w:rsidP="0006064C">
            <w:pPr>
              <w:rPr>
                <w:rFonts w:cs="Arial"/>
              </w:rPr>
            </w:pPr>
            <w:r>
              <w:rPr>
                <w:rFonts w:cs="Arial"/>
              </w:rPr>
              <w:t>4</w:t>
            </w:r>
            <w:r w:rsidR="0006064C">
              <w:rPr>
                <w:rFonts w:cs="Arial"/>
              </w:rPr>
              <w:t>1</w:t>
            </w:r>
            <w:r>
              <w:rPr>
                <w:rFonts w:cs="Arial"/>
              </w:rPr>
              <w:t>,</w:t>
            </w:r>
            <w:r w:rsidR="0006064C">
              <w:rPr>
                <w:rFonts w:cs="Arial"/>
              </w:rPr>
              <w:t>971</w:t>
            </w:r>
          </w:p>
        </w:tc>
        <w:tc>
          <w:tcPr>
            <w:tcW w:w="1617" w:type="dxa"/>
          </w:tcPr>
          <w:p w:rsidR="006C3AED" w:rsidRPr="006C3AED" w:rsidRDefault="00415C75" w:rsidP="006C3AED">
            <w:pPr>
              <w:rPr>
                <w:rFonts w:cs="Arial"/>
              </w:rPr>
            </w:pPr>
            <w:r>
              <w:rPr>
                <w:rFonts w:cs="Arial"/>
              </w:rPr>
              <w:t>25,771</w:t>
            </w:r>
          </w:p>
        </w:tc>
        <w:tc>
          <w:tcPr>
            <w:tcW w:w="3312" w:type="dxa"/>
          </w:tcPr>
          <w:p w:rsidR="006C3AED" w:rsidRPr="006C3AED" w:rsidRDefault="006C3AED" w:rsidP="006C3AED">
            <w:pPr>
              <w:rPr>
                <w:rFonts w:cs="Arial"/>
              </w:rPr>
            </w:pPr>
            <w:r w:rsidRPr="006C3AED">
              <w:rPr>
                <w:rFonts w:cs="Arial"/>
              </w:rPr>
              <w:t xml:space="preserve">The loss avoided is based on the revised Oxford model calculation of 104 weeks future entitlement. </w:t>
            </w:r>
          </w:p>
        </w:tc>
      </w:tr>
      <w:tr w:rsidR="006C3AED" w:rsidRPr="006C3AED" w:rsidTr="00A1201F">
        <w:tc>
          <w:tcPr>
            <w:tcW w:w="2006" w:type="dxa"/>
          </w:tcPr>
          <w:p w:rsidR="006C3AED" w:rsidRPr="006C3AED" w:rsidRDefault="006C3AED" w:rsidP="006C3AED">
            <w:pPr>
              <w:rPr>
                <w:rFonts w:cs="Arial"/>
              </w:rPr>
            </w:pPr>
            <w:r w:rsidRPr="006C3AED">
              <w:rPr>
                <w:rFonts w:cs="Arial"/>
              </w:rPr>
              <w:t xml:space="preserve">Housing Benefit </w:t>
            </w:r>
          </w:p>
        </w:tc>
        <w:tc>
          <w:tcPr>
            <w:tcW w:w="1587" w:type="dxa"/>
          </w:tcPr>
          <w:p w:rsidR="006C3AED" w:rsidRPr="006C3AED" w:rsidRDefault="000B713A" w:rsidP="0006064C">
            <w:pPr>
              <w:rPr>
                <w:rFonts w:cs="Arial"/>
              </w:rPr>
            </w:pPr>
            <w:r>
              <w:rPr>
                <w:rFonts w:cs="Arial"/>
              </w:rPr>
              <w:t>1</w:t>
            </w:r>
            <w:r w:rsidR="0006064C">
              <w:rPr>
                <w:rFonts w:cs="Arial"/>
              </w:rPr>
              <w:t>73</w:t>
            </w:r>
            <w:r>
              <w:rPr>
                <w:rFonts w:cs="Arial"/>
              </w:rPr>
              <w:t>,</w:t>
            </w:r>
            <w:r w:rsidR="0006064C">
              <w:rPr>
                <w:rFonts w:cs="Arial"/>
              </w:rPr>
              <w:t>983</w:t>
            </w:r>
          </w:p>
        </w:tc>
        <w:tc>
          <w:tcPr>
            <w:tcW w:w="1617" w:type="dxa"/>
          </w:tcPr>
          <w:p w:rsidR="006C3AED" w:rsidRPr="006C3AED" w:rsidRDefault="006C3AED" w:rsidP="006C3AED">
            <w:pPr>
              <w:rPr>
                <w:rFonts w:cs="Arial"/>
              </w:rPr>
            </w:pPr>
            <w:r w:rsidRPr="006C3AED">
              <w:rPr>
                <w:rFonts w:cs="Arial"/>
              </w:rPr>
              <w:t>1</w:t>
            </w:r>
            <w:r w:rsidR="000B713A">
              <w:rPr>
                <w:rFonts w:cs="Arial"/>
              </w:rPr>
              <w:t>31,162</w:t>
            </w:r>
          </w:p>
        </w:tc>
        <w:tc>
          <w:tcPr>
            <w:tcW w:w="3312" w:type="dxa"/>
          </w:tcPr>
          <w:p w:rsidR="006C3AED" w:rsidRPr="006C3AED" w:rsidRDefault="006C3AED" w:rsidP="006C3AED">
            <w:pPr>
              <w:rPr>
                <w:rFonts w:cs="Arial"/>
              </w:rPr>
            </w:pPr>
            <w:r w:rsidRPr="006C3AED">
              <w:rPr>
                <w:rFonts w:cs="Arial"/>
              </w:rPr>
              <w:t>Although no longer tasked with investigating H</w:t>
            </w:r>
            <w:r>
              <w:rPr>
                <w:rFonts w:cs="Arial"/>
              </w:rPr>
              <w:t xml:space="preserve">ousing </w:t>
            </w:r>
            <w:r w:rsidRPr="006C3AED">
              <w:rPr>
                <w:rFonts w:cs="Arial"/>
              </w:rPr>
              <w:t>B</w:t>
            </w:r>
            <w:r>
              <w:rPr>
                <w:rFonts w:cs="Arial"/>
              </w:rPr>
              <w:t>enefit</w:t>
            </w:r>
            <w:r w:rsidRPr="006C3AED">
              <w:rPr>
                <w:rFonts w:cs="Arial"/>
              </w:rPr>
              <w:t>, these values are the by-product of tenancy fraud and C</w:t>
            </w:r>
            <w:r>
              <w:rPr>
                <w:rFonts w:cs="Arial"/>
              </w:rPr>
              <w:t xml:space="preserve">ouncil </w:t>
            </w:r>
            <w:r w:rsidRPr="006C3AED">
              <w:rPr>
                <w:rFonts w:cs="Arial"/>
              </w:rPr>
              <w:t>T</w:t>
            </w:r>
            <w:r>
              <w:rPr>
                <w:rFonts w:cs="Arial"/>
              </w:rPr>
              <w:t xml:space="preserve">ax </w:t>
            </w:r>
            <w:r w:rsidRPr="006C3AED">
              <w:rPr>
                <w:rFonts w:cs="Arial"/>
              </w:rPr>
              <w:t>R</w:t>
            </w:r>
            <w:r>
              <w:rPr>
                <w:rFonts w:cs="Arial"/>
              </w:rPr>
              <w:t xml:space="preserve">eduction </w:t>
            </w:r>
            <w:r w:rsidRPr="006C3AED">
              <w:rPr>
                <w:rFonts w:cs="Arial"/>
              </w:rPr>
              <w:t>S</w:t>
            </w:r>
            <w:r>
              <w:rPr>
                <w:rFonts w:cs="Arial"/>
              </w:rPr>
              <w:t>cheme</w:t>
            </w:r>
            <w:r w:rsidRPr="006C3AED">
              <w:rPr>
                <w:rFonts w:cs="Arial"/>
              </w:rPr>
              <w:t xml:space="preserve"> investigations. 104 week future entitlement model used for loss avoidance </w:t>
            </w:r>
          </w:p>
        </w:tc>
      </w:tr>
      <w:tr w:rsidR="006C3AED" w:rsidRPr="006C3AED" w:rsidTr="00A1201F">
        <w:tc>
          <w:tcPr>
            <w:tcW w:w="2006" w:type="dxa"/>
          </w:tcPr>
          <w:p w:rsidR="006C3AED" w:rsidRPr="006C3AED" w:rsidRDefault="006C3AED" w:rsidP="006C3AED">
            <w:pPr>
              <w:rPr>
                <w:rFonts w:cs="Arial"/>
              </w:rPr>
            </w:pPr>
            <w:r w:rsidRPr="006C3AED">
              <w:rPr>
                <w:rFonts w:cs="Arial"/>
              </w:rPr>
              <w:t>Right to Buy</w:t>
            </w:r>
          </w:p>
          <w:p w:rsidR="006C3AED" w:rsidRPr="006C3AED" w:rsidRDefault="006C3AED" w:rsidP="006C3AED">
            <w:pPr>
              <w:rPr>
                <w:rFonts w:cs="Arial"/>
              </w:rPr>
            </w:pPr>
          </w:p>
          <w:p w:rsidR="006C3AED" w:rsidRPr="006C3AED" w:rsidRDefault="006C3AED" w:rsidP="006C3AED">
            <w:pPr>
              <w:rPr>
                <w:rFonts w:cs="Arial"/>
              </w:rPr>
            </w:pPr>
          </w:p>
          <w:p w:rsidR="006C3AED" w:rsidRPr="006C3AED" w:rsidRDefault="006C3AED" w:rsidP="006C3AED">
            <w:pPr>
              <w:rPr>
                <w:rFonts w:cs="Arial"/>
              </w:rPr>
            </w:pPr>
          </w:p>
        </w:tc>
        <w:tc>
          <w:tcPr>
            <w:tcW w:w="1587" w:type="dxa"/>
          </w:tcPr>
          <w:p w:rsidR="006C3AED" w:rsidRPr="006C3AED" w:rsidRDefault="006C3AED" w:rsidP="006C3AED">
            <w:pPr>
              <w:rPr>
                <w:rFonts w:cs="Arial"/>
              </w:rPr>
            </w:pPr>
          </w:p>
        </w:tc>
        <w:tc>
          <w:tcPr>
            <w:tcW w:w="1617" w:type="dxa"/>
          </w:tcPr>
          <w:p w:rsidR="006C3AED" w:rsidRPr="006C3AED" w:rsidRDefault="000B713A" w:rsidP="000B713A">
            <w:pPr>
              <w:rPr>
                <w:rFonts w:cs="Arial"/>
              </w:rPr>
            </w:pPr>
            <w:r>
              <w:rPr>
                <w:rFonts w:cs="Arial"/>
              </w:rPr>
              <w:t>1</w:t>
            </w:r>
            <w:r w:rsidR="006C3AED" w:rsidRPr="006C3AED">
              <w:rPr>
                <w:rFonts w:cs="Arial"/>
              </w:rPr>
              <w:t>,</w:t>
            </w:r>
            <w:r>
              <w:rPr>
                <w:rFonts w:cs="Arial"/>
              </w:rPr>
              <w:t>807</w:t>
            </w:r>
            <w:r w:rsidR="006C3AED" w:rsidRPr="006C3AED">
              <w:rPr>
                <w:rFonts w:cs="Arial"/>
              </w:rPr>
              <w:t>,</w:t>
            </w:r>
            <w:r>
              <w:rPr>
                <w:rFonts w:cs="Arial"/>
              </w:rPr>
              <w:t>8</w:t>
            </w:r>
            <w:r w:rsidR="006C3AED" w:rsidRPr="006C3AED">
              <w:rPr>
                <w:rFonts w:cs="Arial"/>
              </w:rPr>
              <w:t>00</w:t>
            </w:r>
          </w:p>
        </w:tc>
        <w:tc>
          <w:tcPr>
            <w:tcW w:w="3312" w:type="dxa"/>
          </w:tcPr>
          <w:p w:rsidR="006C3AED" w:rsidRPr="006C3AED" w:rsidRDefault="000B713A" w:rsidP="000B713A">
            <w:pPr>
              <w:rPr>
                <w:rFonts w:cs="Arial"/>
              </w:rPr>
            </w:pPr>
            <w:r>
              <w:rPr>
                <w:rFonts w:cs="Arial"/>
              </w:rPr>
              <w:t>2</w:t>
            </w:r>
            <w:r w:rsidR="006C3AED" w:rsidRPr="006C3AED">
              <w:rPr>
                <w:rFonts w:cs="Arial"/>
              </w:rPr>
              <w:t xml:space="preserve">3 Right To Buy applications prevented </w:t>
            </w:r>
            <w:r w:rsidR="0049366C">
              <w:rPr>
                <w:rFonts w:cs="Arial"/>
              </w:rPr>
              <w:t>(2</w:t>
            </w:r>
            <w:r>
              <w:rPr>
                <w:rFonts w:cs="Arial"/>
              </w:rPr>
              <w:t>5</w:t>
            </w:r>
            <w:r w:rsidR="0049366C">
              <w:rPr>
                <w:rFonts w:cs="Arial"/>
              </w:rPr>
              <w:t xml:space="preserve">% of all applications received) </w:t>
            </w:r>
            <w:r w:rsidR="006C3AED" w:rsidRPr="006C3AED">
              <w:rPr>
                <w:rFonts w:cs="Arial"/>
              </w:rPr>
              <w:t xml:space="preserve">following intervention / investigation.  </w:t>
            </w:r>
            <w:r>
              <w:rPr>
                <w:rFonts w:cs="Arial"/>
              </w:rPr>
              <w:t>2</w:t>
            </w:r>
            <w:r w:rsidR="006C3AED" w:rsidRPr="006C3AED">
              <w:rPr>
                <w:rFonts w:cs="Arial"/>
              </w:rPr>
              <w:t>3 x £7</w:t>
            </w:r>
            <w:r>
              <w:rPr>
                <w:rFonts w:cs="Arial"/>
              </w:rPr>
              <w:t>8</w:t>
            </w:r>
            <w:r w:rsidR="006C3AED" w:rsidRPr="006C3AED">
              <w:rPr>
                <w:rFonts w:cs="Arial"/>
              </w:rPr>
              <w:t>,</w:t>
            </w:r>
            <w:r>
              <w:rPr>
                <w:rFonts w:cs="Arial"/>
              </w:rPr>
              <w:t>6</w:t>
            </w:r>
            <w:r w:rsidR="006C3AED" w:rsidRPr="006C3AED">
              <w:rPr>
                <w:rFonts w:cs="Arial"/>
              </w:rPr>
              <w:t>00 (max discount)</w:t>
            </w:r>
          </w:p>
        </w:tc>
      </w:tr>
      <w:tr w:rsidR="006C3AED" w:rsidRPr="006C3AED" w:rsidTr="00A1201F">
        <w:tc>
          <w:tcPr>
            <w:tcW w:w="2006" w:type="dxa"/>
          </w:tcPr>
          <w:p w:rsidR="006C3AED" w:rsidRPr="006C3AED" w:rsidRDefault="006C3AED" w:rsidP="006C3AED">
            <w:pPr>
              <w:rPr>
                <w:rFonts w:cs="Arial"/>
              </w:rPr>
            </w:pPr>
            <w:r w:rsidRPr="006C3AED">
              <w:rPr>
                <w:rFonts w:cs="Arial"/>
              </w:rPr>
              <w:t>Council Tax Discount / Exemption adjustments</w:t>
            </w:r>
          </w:p>
        </w:tc>
        <w:tc>
          <w:tcPr>
            <w:tcW w:w="1587" w:type="dxa"/>
          </w:tcPr>
          <w:p w:rsidR="006C3AED" w:rsidRPr="006C3AED" w:rsidRDefault="00925A0F" w:rsidP="0006064C">
            <w:pPr>
              <w:rPr>
                <w:rFonts w:cs="Arial"/>
              </w:rPr>
            </w:pPr>
            <w:r>
              <w:rPr>
                <w:rFonts w:cs="Arial"/>
              </w:rPr>
              <w:t>11,412</w:t>
            </w:r>
          </w:p>
        </w:tc>
        <w:tc>
          <w:tcPr>
            <w:tcW w:w="1617" w:type="dxa"/>
          </w:tcPr>
          <w:p w:rsidR="006C3AED" w:rsidRPr="006C3AED" w:rsidRDefault="006C3AED" w:rsidP="006C3AED">
            <w:pPr>
              <w:rPr>
                <w:rFonts w:cs="Arial"/>
              </w:rPr>
            </w:pPr>
          </w:p>
        </w:tc>
        <w:tc>
          <w:tcPr>
            <w:tcW w:w="3312" w:type="dxa"/>
          </w:tcPr>
          <w:p w:rsidR="006C3AED" w:rsidRPr="006C3AED" w:rsidRDefault="004126CD" w:rsidP="00925A0F">
            <w:pPr>
              <w:rPr>
                <w:rFonts w:cs="Arial"/>
              </w:rPr>
            </w:pPr>
            <w:r>
              <w:rPr>
                <w:rFonts w:cs="Arial"/>
              </w:rPr>
              <w:t xml:space="preserve">Achieved through reactive </w:t>
            </w:r>
            <w:r w:rsidR="000150A0">
              <w:rPr>
                <w:rFonts w:cs="Arial"/>
              </w:rPr>
              <w:t xml:space="preserve">investigation </w:t>
            </w:r>
            <w:r w:rsidR="00925A0F">
              <w:rPr>
                <w:rFonts w:cs="Arial"/>
              </w:rPr>
              <w:t>casewor</w:t>
            </w:r>
            <w:r w:rsidR="000150A0">
              <w:rPr>
                <w:rFonts w:cs="Arial"/>
              </w:rPr>
              <w:t>k</w:t>
            </w:r>
          </w:p>
        </w:tc>
      </w:tr>
      <w:tr w:rsidR="006C3AED" w:rsidRPr="006C3AED" w:rsidTr="00A1201F">
        <w:tc>
          <w:tcPr>
            <w:tcW w:w="2006" w:type="dxa"/>
          </w:tcPr>
          <w:p w:rsidR="006C3AED" w:rsidRPr="006C3AED" w:rsidRDefault="006C3AED" w:rsidP="006C3AED">
            <w:pPr>
              <w:rPr>
                <w:rFonts w:cs="Arial"/>
              </w:rPr>
            </w:pPr>
            <w:r w:rsidRPr="006C3AED">
              <w:rPr>
                <w:rFonts w:cs="Arial"/>
              </w:rPr>
              <w:t>Non Domestic Rates</w:t>
            </w:r>
          </w:p>
        </w:tc>
        <w:tc>
          <w:tcPr>
            <w:tcW w:w="1587" w:type="dxa"/>
          </w:tcPr>
          <w:p w:rsidR="006C3AED" w:rsidRPr="006C3AED" w:rsidRDefault="000150A0" w:rsidP="006C3AED">
            <w:pPr>
              <w:rPr>
                <w:rFonts w:cs="Arial"/>
              </w:rPr>
            </w:pPr>
            <w:r>
              <w:rPr>
                <w:rFonts w:cs="Arial"/>
              </w:rPr>
              <w:t>7,083</w:t>
            </w:r>
          </w:p>
        </w:tc>
        <w:tc>
          <w:tcPr>
            <w:tcW w:w="1617" w:type="dxa"/>
          </w:tcPr>
          <w:p w:rsidR="006C3AED" w:rsidRPr="006C3AED" w:rsidRDefault="006C3AED" w:rsidP="006C3AED">
            <w:pPr>
              <w:rPr>
                <w:rFonts w:cs="Arial"/>
              </w:rPr>
            </w:pPr>
          </w:p>
        </w:tc>
        <w:tc>
          <w:tcPr>
            <w:tcW w:w="3312" w:type="dxa"/>
          </w:tcPr>
          <w:p w:rsidR="006C3AED" w:rsidRPr="006C3AED" w:rsidRDefault="000150A0" w:rsidP="006C3AED">
            <w:pPr>
              <w:rPr>
                <w:rFonts w:cs="Arial"/>
              </w:rPr>
            </w:pPr>
            <w:r>
              <w:rPr>
                <w:rFonts w:cs="Arial"/>
              </w:rPr>
              <w:t>2 a</w:t>
            </w:r>
            <w:r w:rsidR="006C3AED" w:rsidRPr="006C3AED">
              <w:rPr>
                <w:rFonts w:cs="Arial"/>
              </w:rPr>
              <w:t>ccounts where investigation work resulted in the discovery of unregistered business premises and identification of exemptions or discounts where no entitlement exists</w:t>
            </w:r>
          </w:p>
        </w:tc>
      </w:tr>
      <w:tr w:rsidR="006C3AED" w:rsidRPr="006C3AED" w:rsidTr="00A1201F">
        <w:tc>
          <w:tcPr>
            <w:tcW w:w="2006" w:type="dxa"/>
          </w:tcPr>
          <w:p w:rsidR="006C3AED" w:rsidRPr="006C3AED" w:rsidRDefault="006C3AED" w:rsidP="006C3AED">
            <w:pPr>
              <w:rPr>
                <w:rFonts w:cs="Arial"/>
              </w:rPr>
            </w:pPr>
            <w:r w:rsidRPr="006C3AED">
              <w:rPr>
                <w:rFonts w:cs="Arial"/>
              </w:rPr>
              <w:t>Properties Recovered</w:t>
            </w:r>
          </w:p>
        </w:tc>
        <w:tc>
          <w:tcPr>
            <w:tcW w:w="1587" w:type="dxa"/>
          </w:tcPr>
          <w:p w:rsidR="006C3AED" w:rsidRPr="006C3AED" w:rsidRDefault="006C3AED" w:rsidP="006C3AED">
            <w:pPr>
              <w:rPr>
                <w:rFonts w:cs="Arial"/>
              </w:rPr>
            </w:pPr>
          </w:p>
        </w:tc>
        <w:tc>
          <w:tcPr>
            <w:tcW w:w="1617" w:type="dxa"/>
          </w:tcPr>
          <w:p w:rsidR="006C3AED" w:rsidRPr="006C3AED" w:rsidRDefault="000150A0" w:rsidP="000150A0">
            <w:pPr>
              <w:rPr>
                <w:rFonts w:cs="Arial"/>
              </w:rPr>
            </w:pPr>
            <w:r>
              <w:rPr>
                <w:rFonts w:cs="Arial"/>
              </w:rPr>
              <w:t>264,000</w:t>
            </w:r>
          </w:p>
        </w:tc>
        <w:tc>
          <w:tcPr>
            <w:tcW w:w="3312" w:type="dxa"/>
          </w:tcPr>
          <w:p w:rsidR="00925A0F" w:rsidRDefault="006C3AED" w:rsidP="000150A0">
            <w:pPr>
              <w:rPr>
                <w:rFonts w:cs="Arial"/>
              </w:rPr>
            </w:pPr>
            <w:r w:rsidRPr="006C3AED">
              <w:rPr>
                <w:rFonts w:cs="Arial"/>
              </w:rPr>
              <w:t xml:space="preserve">The cost of keeping a family in temporary accommodation for one year calculated using the Oxford model (£24k x </w:t>
            </w:r>
            <w:r w:rsidR="000150A0">
              <w:rPr>
                <w:rFonts w:cs="Arial"/>
              </w:rPr>
              <w:t>11</w:t>
            </w:r>
            <w:r w:rsidRPr="006C3AED">
              <w:rPr>
                <w:rFonts w:cs="Arial"/>
              </w:rPr>
              <w:t>)</w:t>
            </w:r>
          </w:p>
          <w:p w:rsidR="004D2AC1" w:rsidRPr="006C3AED" w:rsidRDefault="004D2AC1" w:rsidP="000150A0">
            <w:pPr>
              <w:rPr>
                <w:rFonts w:cs="Arial"/>
              </w:rPr>
            </w:pPr>
          </w:p>
        </w:tc>
      </w:tr>
      <w:tr w:rsidR="006C3AED" w:rsidRPr="006C3AED" w:rsidTr="00A1201F">
        <w:tc>
          <w:tcPr>
            <w:tcW w:w="2006" w:type="dxa"/>
          </w:tcPr>
          <w:p w:rsidR="006C3AED" w:rsidRPr="006C3AED" w:rsidRDefault="006C3AED" w:rsidP="006C3AED">
            <w:pPr>
              <w:rPr>
                <w:rFonts w:cs="Arial"/>
              </w:rPr>
            </w:pPr>
            <w:r w:rsidRPr="006C3AED">
              <w:rPr>
                <w:rFonts w:cs="Arial"/>
              </w:rPr>
              <w:t>Housing Applications</w:t>
            </w:r>
          </w:p>
        </w:tc>
        <w:tc>
          <w:tcPr>
            <w:tcW w:w="1587" w:type="dxa"/>
          </w:tcPr>
          <w:p w:rsidR="006C3AED" w:rsidRPr="006C3AED" w:rsidRDefault="006C3AED" w:rsidP="006C3AED">
            <w:pPr>
              <w:rPr>
                <w:rFonts w:cs="Arial"/>
              </w:rPr>
            </w:pPr>
          </w:p>
        </w:tc>
        <w:tc>
          <w:tcPr>
            <w:tcW w:w="1617" w:type="dxa"/>
          </w:tcPr>
          <w:p w:rsidR="006C3AED" w:rsidRPr="006C3AED" w:rsidRDefault="000150A0" w:rsidP="006C3AED">
            <w:pPr>
              <w:rPr>
                <w:rFonts w:cs="Arial"/>
              </w:rPr>
            </w:pPr>
            <w:r>
              <w:rPr>
                <w:rFonts w:cs="Arial"/>
              </w:rPr>
              <w:t>648</w:t>
            </w:r>
            <w:r w:rsidR="006C3AED" w:rsidRPr="006C3AED">
              <w:rPr>
                <w:rFonts w:cs="Arial"/>
              </w:rPr>
              <w:t>,000</w:t>
            </w:r>
          </w:p>
        </w:tc>
        <w:tc>
          <w:tcPr>
            <w:tcW w:w="3312" w:type="dxa"/>
          </w:tcPr>
          <w:p w:rsidR="006C3AED" w:rsidRPr="006C3AED" w:rsidRDefault="000150A0" w:rsidP="006C3AED">
            <w:pPr>
              <w:rPr>
                <w:rFonts w:cs="Arial"/>
              </w:rPr>
            </w:pPr>
            <w:r>
              <w:rPr>
                <w:rFonts w:cs="Arial"/>
              </w:rPr>
              <w:t>27</w:t>
            </w:r>
            <w:r w:rsidR="006C3AED" w:rsidRPr="006C3AED">
              <w:rPr>
                <w:rFonts w:cs="Arial"/>
              </w:rPr>
              <w:t xml:space="preserve"> General Register Housing Applications stopped through investigation activity preventing temporary accommodation costs or property allocation -  £24,000 per instance</w:t>
            </w:r>
          </w:p>
        </w:tc>
      </w:tr>
      <w:tr w:rsidR="006C3AED" w:rsidRPr="006C3AED" w:rsidTr="00A1201F">
        <w:tc>
          <w:tcPr>
            <w:tcW w:w="2006" w:type="dxa"/>
          </w:tcPr>
          <w:p w:rsidR="006C3AED" w:rsidRPr="006C3AED" w:rsidRDefault="006C3AED" w:rsidP="006C3AED">
            <w:pPr>
              <w:rPr>
                <w:rFonts w:cs="Arial"/>
              </w:rPr>
            </w:pPr>
            <w:r w:rsidRPr="006C3AED">
              <w:rPr>
                <w:rFonts w:cs="Arial"/>
              </w:rPr>
              <w:t>Administrative Penalty income</w:t>
            </w:r>
          </w:p>
        </w:tc>
        <w:tc>
          <w:tcPr>
            <w:tcW w:w="1587" w:type="dxa"/>
          </w:tcPr>
          <w:p w:rsidR="006C3AED" w:rsidRPr="006C3AED" w:rsidRDefault="000150A0" w:rsidP="006C3AED">
            <w:pPr>
              <w:rPr>
                <w:rFonts w:cs="Arial"/>
              </w:rPr>
            </w:pPr>
            <w:r>
              <w:rPr>
                <w:rFonts w:cs="Arial"/>
              </w:rPr>
              <w:t>2,551</w:t>
            </w:r>
          </w:p>
        </w:tc>
        <w:tc>
          <w:tcPr>
            <w:tcW w:w="1617" w:type="dxa"/>
          </w:tcPr>
          <w:p w:rsidR="006C3AED" w:rsidRPr="006C3AED" w:rsidRDefault="006C3AED" w:rsidP="006C3AED">
            <w:pPr>
              <w:rPr>
                <w:rFonts w:cs="Arial"/>
              </w:rPr>
            </w:pPr>
          </w:p>
        </w:tc>
        <w:tc>
          <w:tcPr>
            <w:tcW w:w="3312" w:type="dxa"/>
          </w:tcPr>
          <w:p w:rsidR="006C3AED" w:rsidRDefault="006C3AED" w:rsidP="000150A0">
            <w:pPr>
              <w:rPr>
                <w:rFonts w:cs="Arial"/>
              </w:rPr>
            </w:pPr>
            <w:r w:rsidRPr="006C3AED">
              <w:rPr>
                <w:rFonts w:cs="Arial"/>
              </w:rPr>
              <w:t xml:space="preserve">50% of the fraudulent overpayment of Council Tax Reduction Scheme Allowance. </w:t>
            </w:r>
            <w:r w:rsidR="00C2724A">
              <w:rPr>
                <w:rFonts w:cs="Arial"/>
              </w:rPr>
              <w:t>3</w:t>
            </w:r>
            <w:r w:rsidRPr="006C3AED">
              <w:rPr>
                <w:rFonts w:cs="Arial"/>
              </w:rPr>
              <w:t xml:space="preserve"> cases.</w:t>
            </w:r>
          </w:p>
          <w:p w:rsidR="003E2329" w:rsidRPr="006C3AED" w:rsidRDefault="003E2329" w:rsidP="000150A0">
            <w:pPr>
              <w:rPr>
                <w:rFonts w:cs="Arial"/>
              </w:rPr>
            </w:pPr>
          </w:p>
        </w:tc>
      </w:tr>
      <w:tr w:rsidR="003E2329" w:rsidRPr="006C3AED" w:rsidTr="00A1201F">
        <w:tc>
          <w:tcPr>
            <w:tcW w:w="2006" w:type="dxa"/>
          </w:tcPr>
          <w:p w:rsidR="003E2329" w:rsidRPr="006C3AED" w:rsidRDefault="00925A0F" w:rsidP="00925A0F">
            <w:pPr>
              <w:rPr>
                <w:rFonts w:cs="Arial"/>
              </w:rPr>
            </w:pPr>
            <w:r>
              <w:rPr>
                <w:rFonts w:cs="Arial"/>
              </w:rPr>
              <w:t>Insurance claim</w:t>
            </w:r>
            <w:r w:rsidR="003E2329">
              <w:rPr>
                <w:rFonts w:cs="Arial"/>
              </w:rPr>
              <w:t xml:space="preserve"> </w:t>
            </w:r>
            <w:r>
              <w:rPr>
                <w:rFonts w:cs="Arial"/>
              </w:rPr>
              <w:t>p</w:t>
            </w:r>
            <w:r w:rsidR="003E2329">
              <w:rPr>
                <w:rFonts w:cs="Arial"/>
              </w:rPr>
              <w:t>revention</w:t>
            </w:r>
          </w:p>
        </w:tc>
        <w:tc>
          <w:tcPr>
            <w:tcW w:w="1587" w:type="dxa"/>
          </w:tcPr>
          <w:p w:rsidR="003E2329" w:rsidRDefault="003E2329" w:rsidP="006C3AED">
            <w:pPr>
              <w:rPr>
                <w:rFonts w:cs="Arial"/>
              </w:rPr>
            </w:pPr>
          </w:p>
        </w:tc>
        <w:tc>
          <w:tcPr>
            <w:tcW w:w="1617" w:type="dxa"/>
          </w:tcPr>
          <w:p w:rsidR="003E2329" w:rsidRPr="006C3AED" w:rsidRDefault="003E2329" w:rsidP="006C3AED">
            <w:pPr>
              <w:rPr>
                <w:rFonts w:cs="Arial"/>
              </w:rPr>
            </w:pPr>
            <w:r>
              <w:rPr>
                <w:rFonts w:cs="Arial"/>
              </w:rPr>
              <w:t>39,400</w:t>
            </w:r>
          </w:p>
        </w:tc>
        <w:tc>
          <w:tcPr>
            <w:tcW w:w="3312" w:type="dxa"/>
          </w:tcPr>
          <w:p w:rsidR="003E2329" w:rsidRPr="006C3AED" w:rsidRDefault="00925A0F" w:rsidP="00925A0F">
            <w:pPr>
              <w:rPr>
                <w:rFonts w:cs="Arial"/>
              </w:rPr>
            </w:pPr>
            <w:r>
              <w:rPr>
                <w:rFonts w:cs="Arial"/>
              </w:rPr>
              <w:t>Personal injury insurance claim repudiated after intervention from Investigation Team</w:t>
            </w:r>
          </w:p>
        </w:tc>
      </w:tr>
      <w:tr w:rsidR="006C3AED" w:rsidRPr="006C3AED" w:rsidTr="00A1201F">
        <w:trPr>
          <w:trHeight w:val="317"/>
        </w:trPr>
        <w:tc>
          <w:tcPr>
            <w:tcW w:w="8522" w:type="dxa"/>
            <w:gridSpan w:val="4"/>
          </w:tcPr>
          <w:p w:rsidR="006C3AED" w:rsidRPr="006C3AED" w:rsidRDefault="006C3AED" w:rsidP="006C3AED">
            <w:pPr>
              <w:rPr>
                <w:rFonts w:cs="Arial"/>
              </w:rPr>
            </w:pPr>
            <w:r w:rsidRPr="006C3AED">
              <w:rPr>
                <w:rFonts w:cs="Arial"/>
              </w:rPr>
              <w:t>Data Matching Results</w:t>
            </w:r>
          </w:p>
        </w:tc>
      </w:tr>
      <w:tr w:rsidR="006C3AED" w:rsidRPr="006C3AED" w:rsidTr="00A1201F">
        <w:trPr>
          <w:trHeight w:val="425"/>
        </w:trPr>
        <w:tc>
          <w:tcPr>
            <w:tcW w:w="2006" w:type="dxa"/>
          </w:tcPr>
          <w:p w:rsidR="006C3AED" w:rsidRPr="006C3AED" w:rsidRDefault="006C3AED" w:rsidP="006C3AED">
            <w:pPr>
              <w:rPr>
                <w:rFonts w:cs="Arial"/>
              </w:rPr>
            </w:pPr>
            <w:r w:rsidRPr="006C3AED">
              <w:rPr>
                <w:rFonts w:cs="Arial"/>
              </w:rPr>
              <w:t>Private Rented Sector Deposits and Bonds Exercise</w:t>
            </w:r>
          </w:p>
        </w:tc>
        <w:tc>
          <w:tcPr>
            <w:tcW w:w="1587" w:type="dxa"/>
          </w:tcPr>
          <w:p w:rsidR="006C3AED" w:rsidRPr="006C3AED" w:rsidRDefault="000150A0" w:rsidP="006C3AED">
            <w:pPr>
              <w:rPr>
                <w:rFonts w:cs="Arial"/>
              </w:rPr>
            </w:pPr>
            <w:r>
              <w:rPr>
                <w:rFonts w:cs="Arial"/>
              </w:rPr>
              <w:t>46,250</w:t>
            </w:r>
          </w:p>
        </w:tc>
        <w:tc>
          <w:tcPr>
            <w:tcW w:w="1617" w:type="dxa"/>
          </w:tcPr>
          <w:p w:rsidR="006C3AED" w:rsidRPr="006C3AED" w:rsidRDefault="000150A0" w:rsidP="006C3AED">
            <w:pPr>
              <w:rPr>
                <w:rFonts w:cs="Arial"/>
              </w:rPr>
            </w:pPr>
            <w:r>
              <w:rPr>
                <w:rFonts w:cs="Arial"/>
              </w:rPr>
              <w:t>16,251</w:t>
            </w:r>
          </w:p>
        </w:tc>
        <w:tc>
          <w:tcPr>
            <w:tcW w:w="3312" w:type="dxa"/>
          </w:tcPr>
          <w:p w:rsidR="006C3AED" w:rsidRPr="006C3AED" w:rsidRDefault="006C3AED" w:rsidP="006C3AED">
            <w:pPr>
              <w:rPr>
                <w:rFonts w:cs="Arial"/>
              </w:rPr>
            </w:pPr>
            <w:r w:rsidRPr="006C3AED">
              <w:rPr>
                <w:rFonts w:cs="Arial"/>
              </w:rPr>
              <w:t>Proactive initiative to identify non-repaid rent deposits and damage bonds that were no longer applicable. Loss prevention element relates to cancellation of bonds and lowering of reserve</w:t>
            </w:r>
          </w:p>
        </w:tc>
      </w:tr>
      <w:tr w:rsidR="006C3AED" w:rsidRPr="006C3AED" w:rsidTr="00A1201F">
        <w:trPr>
          <w:trHeight w:val="425"/>
        </w:trPr>
        <w:tc>
          <w:tcPr>
            <w:tcW w:w="2006" w:type="dxa"/>
          </w:tcPr>
          <w:p w:rsidR="006C3AED" w:rsidRPr="006C3AED" w:rsidRDefault="006C3AED" w:rsidP="006C3AED">
            <w:pPr>
              <w:rPr>
                <w:rFonts w:cs="Arial"/>
              </w:rPr>
            </w:pPr>
            <w:r w:rsidRPr="006C3AED">
              <w:rPr>
                <w:rFonts w:cs="Arial"/>
              </w:rPr>
              <w:t>New Homes Bonus Initiative</w:t>
            </w:r>
          </w:p>
        </w:tc>
        <w:tc>
          <w:tcPr>
            <w:tcW w:w="1587" w:type="dxa"/>
          </w:tcPr>
          <w:p w:rsidR="006C3AED" w:rsidRPr="006C3AED" w:rsidRDefault="00925A0F" w:rsidP="006C3AED">
            <w:pPr>
              <w:rPr>
                <w:rFonts w:cs="Arial"/>
              </w:rPr>
            </w:pPr>
            <w:r>
              <w:rPr>
                <w:rFonts w:cs="Arial"/>
              </w:rPr>
              <w:t>£52,504</w:t>
            </w:r>
          </w:p>
        </w:tc>
        <w:tc>
          <w:tcPr>
            <w:tcW w:w="1617" w:type="dxa"/>
          </w:tcPr>
          <w:p w:rsidR="006C3AED" w:rsidRPr="006C3AED" w:rsidRDefault="006C3AED" w:rsidP="006C3AED">
            <w:pPr>
              <w:rPr>
                <w:rFonts w:cs="Arial"/>
              </w:rPr>
            </w:pPr>
          </w:p>
        </w:tc>
        <w:tc>
          <w:tcPr>
            <w:tcW w:w="3312" w:type="dxa"/>
          </w:tcPr>
          <w:p w:rsidR="006C3AED" w:rsidRPr="006C3AED" w:rsidRDefault="006C3AED" w:rsidP="006C3AED">
            <w:pPr>
              <w:rPr>
                <w:rFonts w:cs="Arial"/>
              </w:rPr>
            </w:pPr>
            <w:r w:rsidRPr="006C3AED">
              <w:rPr>
                <w:rFonts w:cs="Arial"/>
              </w:rPr>
              <w:t xml:space="preserve">Proactive initiative to </w:t>
            </w:r>
            <w:proofErr w:type="gramStart"/>
            <w:r w:rsidRPr="006C3AED">
              <w:rPr>
                <w:rFonts w:cs="Arial"/>
              </w:rPr>
              <w:t>identify  long</w:t>
            </w:r>
            <w:proofErr w:type="gramEnd"/>
            <w:r w:rsidRPr="006C3AED">
              <w:rPr>
                <w:rFonts w:cs="Arial"/>
              </w:rPr>
              <w:t xml:space="preserve"> term empty properties that have since been occupied. Income relates to government subsidy paid to the Council</w:t>
            </w:r>
            <w:r w:rsidR="00925A0F">
              <w:rPr>
                <w:rFonts w:cs="Arial"/>
              </w:rPr>
              <w:t xml:space="preserve"> over 4 years</w:t>
            </w:r>
          </w:p>
        </w:tc>
      </w:tr>
      <w:tr w:rsidR="006C3AED" w:rsidRPr="006C3AED" w:rsidTr="00A1201F">
        <w:trPr>
          <w:trHeight w:val="425"/>
        </w:trPr>
        <w:tc>
          <w:tcPr>
            <w:tcW w:w="2006" w:type="dxa"/>
          </w:tcPr>
          <w:p w:rsidR="006C3AED" w:rsidRPr="006C3AED" w:rsidRDefault="006C3AED" w:rsidP="006C3AED">
            <w:pPr>
              <w:rPr>
                <w:rFonts w:cs="Arial"/>
              </w:rPr>
            </w:pPr>
            <w:r w:rsidRPr="006C3AED">
              <w:rPr>
                <w:rFonts w:cs="Arial"/>
              </w:rPr>
              <w:t>Council Tax Single Person Discount Review</w:t>
            </w:r>
          </w:p>
        </w:tc>
        <w:tc>
          <w:tcPr>
            <w:tcW w:w="1587" w:type="dxa"/>
          </w:tcPr>
          <w:p w:rsidR="006C3AED" w:rsidRPr="006C3AED" w:rsidRDefault="00925A0F" w:rsidP="006C3AED">
            <w:pPr>
              <w:rPr>
                <w:rFonts w:cs="Arial"/>
              </w:rPr>
            </w:pPr>
            <w:r>
              <w:rPr>
                <w:rFonts w:cs="Arial"/>
              </w:rPr>
              <w:t>269,316</w:t>
            </w:r>
          </w:p>
        </w:tc>
        <w:tc>
          <w:tcPr>
            <w:tcW w:w="1617" w:type="dxa"/>
          </w:tcPr>
          <w:p w:rsidR="006C3AED" w:rsidRPr="006C3AED" w:rsidRDefault="006C3AED" w:rsidP="006C3AED">
            <w:pPr>
              <w:rPr>
                <w:rFonts w:cs="Arial"/>
              </w:rPr>
            </w:pPr>
          </w:p>
        </w:tc>
        <w:tc>
          <w:tcPr>
            <w:tcW w:w="3312" w:type="dxa"/>
          </w:tcPr>
          <w:p w:rsidR="006C3AED" w:rsidRDefault="00C2724A" w:rsidP="006C3AED">
            <w:pPr>
              <w:rPr>
                <w:rFonts w:cs="Arial"/>
              </w:rPr>
            </w:pPr>
            <w:r>
              <w:rPr>
                <w:rFonts w:cs="Arial"/>
              </w:rPr>
              <w:t xml:space="preserve">Rolling </w:t>
            </w:r>
            <w:r w:rsidR="006C3AED" w:rsidRPr="006C3AED">
              <w:rPr>
                <w:rFonts w:cs="Arial"/>
              </w:rPr>
              <w:t>review of SPD accounts to identify presence of  undeclared resident adults</w:t>
            </w:r>
          </w:p>
          <w:p w:rsidR="003E2329" w:rsidRPr="006C3AED" w:rsidRDefault="003E2329" w:rsidP="006C3AED">
            <w:pPr>
              <w:rPr>
                <w:rFonts w:cs="Arial"/>
              </w:rPr>
            </w:pPr>
          </w:p>
        </w:tc>
      </w:tr>
      <w:tr w:rsidR="006C3AED" w:rsidRPr="006C3AED" w:rsidTr="00A1201F">
        <w:trPr>
          <w:trHeight w:val="425"/>
        </w:trPr>
        <w:tc>
          <w:tcPr>
            <w:tcW w:w="2006" w:type="dxa"/>
          </w:tcPr>
          <w:p w:rsidR="006C3AED" w:rsidRPr="006C3AED" w:rsidRDefault="006C3AED" w:rsidP="006C3AED">
            <w:pPr>
              <w:rPr>
                <w:rFonts w:cs="Arial"/>
              </w:rPr>
            </w:pPr>
            <w:r w:rsidRPr="006C3AED">
              <w:rPr>
                <w:rFonts w:cs="Arial"/>
              </w:rPr>
              <w:t>Totals</w:t>
            </w:r>
          </w:p>
        </w:tc>
        <w:tc>
          <w:tcPr>
            <w:tcW w:w="1587" w:type="dxa"/>
          </w:tcPr>
          <w:p w:rsidR="006C3AED" w:rsidRPr="006C3AED" w:rsidRDefault="00C2724A" w:rsidP="00EA3AE4">
            <w:pPr>
              <w:rPr>
                <w:rFonts w:cs="Arial"/>
              </w:rPr>
            </w:pPr>
            <w:r>
              <w:rPr>
                <w:rFonts w:cs="Arial"/>
              </w:rPr>
              <w:t>605,</w:t>
            </w:r>
            <w:r w:rsidR="00EA3AE4">
              <w:rPr>
                <w:rFonts w:cs="Arial"/>
              </w:rPr>
              <w:t>0</w:t>
            </w:r>
            <w:r>
              <w:rPr>
                <w:rFonts w:cs="Arial"/>
              </w:rPr>
              <w:t>7</w:t>
            </w:r>
            <w:r w:rsidR="00EA3AE4">
              <w:rPr>
                <w:rFonts w:cs="Arial"/>
              </w:rPr>
              <w:t>0</w:t>
            </w:r>
          </w:p>
        </w:tc>
        <w:tc>
          <w:tcPr>
            <w:tcW w:w="1617" w:type="dxa"/>
          </w:tcPr>
          <w:p w:rsidR="003E2329" w:rsidRPr="006C3AED" w:rsidRDefault="00C2724A" w:rsidP="003E2329">
            <w:pPr>
              <w:rPr>
                <w:rFonts w:cs="Arial"/>
              </w:rPr>
            </w:pPr>
            <w:r>
              <w:rPr>
                <w:rFonts w:cs="Arial"/>
              </w:rPr>
              <w:t>2,932,384</w:t>
            </w:r>
          </w:p>
        </w:tc>
        <w:tc>
          <w:tcPr>
            <w:tcW w:w="3312" w:type="dxa"/>
          </w:tcPr>
          <w:p w:rsidR="006C3AED" w:rsidRPr="00C2724A" w:rsidRDefault="00C2724A" w:rsidP="00EA3AE4">
            <w:pPr>
              <w:rPr>
                <w:rFonts w:cs="Arial"/>
                <w:b/>
              </w:rPr>
            </w:pPr>
            <w:r w:rsidRPr="00C2724A">
              <w:rPr>
                <w:rFonts w:cs="Arial"/>
                <w:b/>
              </w:rPr>
              <w:t>3,53</w:t>
            </w:r>
            <w:r w:rsidR="00EA3AE4">
              <w:rPr>
                <w:rFonts w:cs="Arial"/>
                <w:b/>
              </w:rPr>
              <w:t>7</w:t>
            </w:r>
            <w:r w:rsidRPr="00C2724A">
              <w:rPr>
                <w:rFonts w:cs="Arial"/>
                <w:b/>
              </w:rPr>
              <w:t>,</w:t>
            </w:r>
            <w:r w:rsidR="00EA3AE4">
              <w:rPr>
                <w:rFonts w:cs="Arial"/>
                <w:b/>
              </w:rPr>
              <w:t>454</w:t>
            </w:r>
          </w:p>
        </w:tc>
      </w:tr>
    </w:tbl>
    <w:p w:rsidR="00694F2E" w:rsidRDefault="00694F2E" w:rsidP="00C10750">
      <w:pPr>
        <w:rPr>
          <w:rFonts w:cs="Arial"/>
        </w:rPr>
      </w:pPr>
    </w:p>
    <w:p w:rsidR="00694F2E" w:rsidRDefault="00694F2E" w:rsidP="00C10750">
      <w:pPr>
        <w:rPr>
          <w:rFonts w:cs="Arial"/>
        </w:rPr>
      </w:pPr>
    </w:p>
    <w:p w:rsidR="001E6847" w:rsidRDefault="00B26E25" w:rsidP="00F52A3F">
      <w:pPr>
        <w:pStyle w:val="ListParagraph"/>
        <w:numPr>
          <w:ilvl w:val="0"/>
          <w:numId w:val="2"/>
        </w:numPr>
        <w:rPr>
          <w:rFonts w:cs="Arial"/>
        </w:rPr>
      </w:pPr>
      <w:r>
        <w:rPr>
          <w:rFonts w:cs="Arial"/>
        </w:rPr>
        <w:t>Notable a</w:t>
      </w:r>
      <w:r w:rsidR="00EE4D96">
        <w:rPr>
          <w:rFonts w:cs="Arial"/>
        </w:rPr>
        <w:t xml:space="preserve">ctivity </w:t>
      </w:r>
      <w:r w:rsidR="00BF4A91">
        <w:rPr>
          <w:rFonts w:cs="Arial"/>
        </w:rPr>
        <w:t>from 1</w:t>
      </w:r>
      <w:r w:rsidR="00006D48">
        <w:rPr>
          <w:rFonts w:cs="Arial"/>
        </w:rPr>
        <w:t xml:space="preserve"> April </w:t>
      </w:r>
      <w:r w:rsidR="00967EDA">
        <w:rPr>
          <w:rFonts w:cs="Arial"/>
        </w:rPr>
        <w:t>201</w:t>
      </w:r>
      <w:r w:rsidR="00C23198">
        <w:rPr>
          <w:rFonts w:cs="Arial"/>
        </w:rPr>
        <w:t>7</w:t>
      </w:r>
      <w:r w:rsidR="00967EDA">
        <w:rPr>
          <w:rFonts w:cs="Arial"/>
        </w:rPr>
        <w:t xml:space="preserve"> </w:t>
      </w:r>
      <w:r w:rsidR="00BF4A91">
        <w:rPr>
          <w:rFonts w:cs="Arial"/>
        </w:rPr>
        <w:t xml:space="preserve">to 31 </w:t>
      </w:r>
      <w:r w:rsidR="00967EDA">
        <w:rPr>
          <w:rFonts w:cs="Arial"/>
        </w:rPr>
        <w:t>March 201</w:t>
      </w:r>
      <w:r w:rsidR="00C23198">
        <w:rPr>
          <w:rFonts w:cs="Arial"/>
        </w:rPr>
        <w:t>8</w:t>
      </w:r>
      <w:r w:rsidR="00967EDA">
        <w:rPr>
          <w:rFonts w:cs="Arial"/>
        </w:rPr>
        <w:t xml:space="preserve"> </w:t>
      </w:r>
      <w:r w:rsidR="00EE4D96">
        <w:rPr>
          <w:rFonts w:cs="Arial"/>
        </w:rPr>
        <w:t>included</w:t>
      </w:r>
      <w:r w:rsidR="00C129E2">
        <w:rPr>
          <w:rFonts w:cs="Arial"/>
        </w:rPr>
        <w:t>:</w:t>
      </w:r>
    </w:p>
    <w:p w:rsidR="001E6847" w:rsidRPr="001E6847" w:rsidRDefault="001E6847" w:rsidP="001E6847">
      <w:pPr>
        <w:pStyle w:val="ListParagraph"/>
        <w:rPr>
          <w:rFonts w:cs="Arial"/>
        </w:rPr>
      </w:pPr>
    </w:p>
    <w:p w:rsidR="00884DB5" w:rsidRPr="00F835F0" w:rsidRDefault="00C2724A" w:rsidP="00A52F2F">
      <w:pPr>
        <w:pStyle w:val="ListParagraph"/>
        <w:numPr>
          <w:ilvl w:val="1"/>
          <w:numId w:val="2"/>
        </w:numPr>
        <w:spacing w:before="120" w:after="120"/>
        <w:ind w:left="1083" w:hanging="357"/>
        <w:contextualSpacing w:val="0"/>
        <w:rPr>
          <w:rFonts w:cs="Arial"/>
        </w:rPr>
      </w:pPr>
      <w:r>
        <w:rPr>
          <w:rFonts w:cs="Arial"/>
        </w:rPr>
        <w:t>3</w:t>
      </w:r>
      <w:r w:rsidR="00884DB5" w:rsidRPr="00F835F0">
        <w:rPr>
          <w:rFonts w:cs="Arial"/>
        </w:rPr>
        <w:t xml:space="preserve"> Administrative Penalt</w:t>
      </w:r>
      <w:r w:rsidR="009E17A8" w:rsidRPr="00F835F0">
        <w:rPr>
          <w:rFonts w:cs="Arial"/>
        </w:rPr>
        <w:t>ies</w:t>
      </w:r>
      <w:r w:rsidR="00884DB5" w:rsidRPr="00F835F0">
        <w:rPr>
          <w:rFonts w:cs="Arial"/>
        </w:rPr>
        <w:t xml:space="preserve"> offered and accepted in respect of Council Tax Reduction Scheme offences</w:t>
      </w:r>
    </w:p>
    <w:p w:rsidR="00F835F0" w:rsidRPr="00F835F0" w:rsidRDefault="00F835F0" w:rsidP="00A52F2F">
      <w:pPr>
        <w:pStyle w:val="ListParagraph"/>
        <w:numPr>
          <w:ilvl w:val="1"/>
          <w:numId w:val="2"/>
        </w:numPr>
        <w:spacing w:before="120" w:after="120"/>
        <w:ind w:left="1083" w:hanging="357"/>
        <w:contextualSpacing w:val="0"/>
        <w:rPr>
          <w:rFonts w:cs="Arial"/>
        </w:rPr>
      </w:pPr>
      <w:r w:rsidRPr="00F835F0">
        <w:rPr>
          <w:rFonts w:cs="Arial"/>
        </w:rPr>
        <w:t>1 prosecution of Council Tax Reduction Scheme offences</w:t>
      </w:r>
      <w:r>
        <w:rPr>
          <w:rFonts w:cs="Arial"/>
        </w:rPr>
        <w:t xml:space="preserve">; </w:t>
      </w:r>
      <w:r w:rsidR="0017177F">
        <w:rPr>
          <w:rFonts w:cs="Arial"/>
        </w:rPr>
        <w:t>1</w:t>
      </w:r>
      <w:r>
        <w:rPr>
          <w:rFonts w:cs="Arial"/>
        </w:rPr>
        <w:t>2</w:t>
      </w:r>
      <w:r w:rsidR="0017177F">
        <w:rPr>
          <w:rFonts w:cs="Arial"/>
        </w:rPr>
        <w:t xml:space="preserve"> months conditional discharge, £20</w:t>
      </w:r>
      <w:r>
        <w:rPr>
          <w:rFonts w:cs="Arial"/>
        </w:rPr>
        <w:t xml:space="preserve"> victim surcharge</w:t>
      </w:r>
      <w:r w:rsidR="0017177F">
        <w:rPr>
          <w:rFonts w:cs="Arial"/>
        </w:rPr>
        <w:t xml:space="preserve">, £350 costs. The customer had also unlawfully acquired a Council property which was subsequently recovered as a direct result of the work of the team. </w:t>
      </w:r>
    </w:p>
    <w:p w:rsidR="00F855DE" w:rsidRDefault="005D5FAF" w:rsidP="000B0CD0">
      <w:pPr>
        <w:pStyle w:val="ListParagraph"/>
        <w:numPr>
          <w:ilvl w:val="1"/>
          <w:numId w:val="2"/>
        </w:numPr>
        <w:spacing w:before="120" w:after="120"/>
        <w:contextualSpacing w:val="0"/>
        <w:rPr>
          <w:rFonts w:cs="Arial"/>
        </w:rPr>
      </w:pPr>
      <w:r w:rsidRPr="00F855DE">
        <w:rPr>
          <w:rFonts w:cs="Arial"/>
        </w:rPr>
        <w:t>T</w:t>
      </w:r>
      <w:r w:rsidR="00912083" w:rsidRPr="00F855DE">
        <w:rPr>
          <w:rFonts w:cs="Arial"/>
        </w:rPr>
        <w:t xml:space="preserve">he </w:t>
      </w:r>
      <w:r w:rsidR="009A02CB" w:rsidRPr="00F855DE">
        <w:rPr>
          <w:rFonts w:cs="Arial"/>
        </w:rPr>
        <w:t>Data Warehouse s</w:t>
      </w:r>
      <w:r w:rsidRPr="00F855DE">
        <w:rPr>
          <w:rFonts w:cs="Arial"/>
        </w:rPr>
        <w:t xml:space="preserve">ystem was </w:t>
      </w:r>
      <w:r w:rsidR="0017177F">
        <w:rPr>
          <w:rFonts w:cs="Arial"/>
        </w:rPr>
        <w:t xml:space="preserve">again </w:t>
      </w:r>
      <w:r w:rsidRPr="00F855DE">
        <w:rPr>
          <w:rFonts w:cs="Arial"/>
        </w:rPr>
        <w:t>used for three innovative proactive exercises during the course of the year, as detailed within Table 2. The combined value derived from use of the in-house data matching system was £</w:t>
      </w:r>
      <w:r w:rsidR="0017177F">
        <w:rPr>
          <w:rFonts w:cs="Arial"/>
        </w:rPr>
        <w:t>384,321</w:t>
      </w:r>
      <w:r w:rsidRPr="00F855DE">
        <w:rPr>
          <w:rFonts w:cs="Arial"/>
        </w:rPr>
        <w:t>, of which £</w:t>
      </w:r>
      <w:r w:rsidR="0017177F">
        <w:rPr>
          <w:rFonts w:cs="Arial"/>
        </w:rPr>
        <w:t>16</w:t>
      </w:r>
      <w:r w:rsidR="00356144">
        <w:rPr>
          <w:rFonts w:cs="Arial"/>
        </w:rPr>
        <w:t>k wa</w:t>
      </w:r>
      <w:r w:rsidRPr="00F855DE">
        <w:rPr>
          <w:rFonts w:cs="Arial"/>
        </w:rPr>
        <w:t xml:space="preserve">s prevention of fraud losses. </w:t>
      </w:r>
    </w:p>
    <w:p w:rsidR="004D2AC1" w:rsidRDefault="004D2AC1" w:rsidP="004D2AC1">
      <w:pPr>
        <w:spacing w:before="120" w:after="120"/>
        <w:rPr>
          <w:rFonts w:cs="Arial"/>
        </w:rPr>
      </w:pPr>
    </w:p>
    <w:p w:rsidR="004D2AC1" w:rsidRDefault="004D2AC1" w:rsidP="004D2AC1">
      <w:pPr>
        <w:spacing w:before="120" w:after="120"/>
        <w:rPr>
          <w:rFonts w:cs="Arial"/>
        </w:rPr>
      </w:pPr>
    </w:p>
    <w:p w:rsidR="004D2AC1" w:rsidRPr="004D2AC1" w:rsidRDefault="004D2AC1" w:rsidP="004D2AC1">
      <w:pPr>
        <w:spacing w:before="120" w:after="120"/>
        <w:rPr>
          <w:rFonts w:cs="Arial"/>
        </w:rPr>
      </w:pPr>
    </w:p>
    <w:p w:rsidR="00356144" w:rsidRDefault="00F855DE" w:rsidP="00F855DE">
      <w:pPr>
        <w:spacing w:before="120" w:after="120"/>
        <w:ind w:left="369" w:hanging="369"/>
        <w:rPr>
          <w:rFonts w:cs="Arial"/>
        </w:rPr>
      </w:pPr>
      <w:r>
        <w:rPr>
          <w:rFonts w:cs="Arial"/>
        </w:rPr>
        <w:t>6</w:t>
      </w:r>
      <w:r>
        <w:rPr>
          <w:rFonts w:cs="Arial"/>
        </w:rPr>
        <w:tab/>
      </w:r>
      <w:r w:rsidR="00356144">
        <w:rPr>
          <w:rFonts w:cs="Arial"/>
        </w:rPr>
        <w:t xml:space="preserve">In mid-2017, submissions were made to the </w:t>
      </w:r>
      <w:r w:rsidR="00674107" w:rsidRPr="00E71032">
        <w:rPr>
          <w:rFonts w:cs="Arial"/>
        </w:rPr>
        <w:t xml:space="preserve">Institute of Revenues, Ratings and </w:t>
      </w:r>
      <w:proofErr w:type="gramStart"/>
      <w:r w:rsidR="00674107" w:rsidRPr="00E71032">
        <w:rPr>
          <w:rFonts w:cs="Arial"/>
        </w:rPr>
        <w:t xml:space="preserve">Valuations (IRRV) </w:t>
      </w:r>
      <w:r w:rsidR="00356144">
        <w:rPr>
          <w:rFonts w:cs="Arial"/>
        </w:rPr>
        <w:t>for consideration in their Performance Awards scheme.</w:t>
      </w:r>
      <w:proofErr w:type="gramEnd"/>
      <w:r w:rsidR="00356144">
        <w:rPr>
          <w:rFonts w:cs="Arial"/>
        </w:rPr>
        <w:t xml:space="preserve">  The team were shortlisted as Finalists in all three categories entered, which were:</w:t>
      </w:r>
    </w:p>
    <w:p w:rsidR="00356144" w:rsidRDefault="00356144" w:rsidP="00356144">
      <w:pPr>
        <w:pStyle w:val="ListParagraph"/>
        <w:numPr>
          <w:ilvl w:val="0"/>
          <w:numId w:val="45"/>
        </w:numPr>
        <w:spacing w:before="120" w:after="120"/>
        <w:rPr>
          <w:rFonts w:cs="Arial"/>
        </w:rPr>
      </w:pPr>
      <w:r>
        <w:rPr>
          <w:rFonts w:cs="Arial"/>
        </w:rPr>
        <w:t>Excellence in Counter Fraud</w:t>
      </w:r>
    </w:p>
    <w:p w:rsidR="00356144" w:rsidRDefault="00356144" w:rsidP="00356144">
      <w:pPr>
        <w:pStyle w:val="ListParagraph"/>
        <w:numPr>
          <w:ilvl w:val="0"/>
          <w:numId w:val="45"/>
        </w:numPr>
        <w:spacing w:before="120" w:after="120"/>
        <w:rPr>
          <w:rFonts w:cs="Arial"/>
        </w:rPr>
      </w:pPr>
      <w:r>
        <w:rPr>
          <w:rFonts w:cs="Arial"/>
        </w:rPr>
        <w:t>Excellence in Innovation (General)</w:t>
      </w:r>
    </w:p>
    <w:p w:rsidR="00356144" w:rsidRDefault="00356144" w:rsidP="00356144">
      <w:pPr>
        <w:pStyle w:val="ListParagraph"/>
        <w:numPr>
          <w:ilvl w:val="0"/>
          <w:numId w:val="45"/>
        </w:numPr>
        <w:spacing w:before="120" w:after="120"/>
        <w:rPr>
          <w:rFonts w:cs="Arial"/>
        </w:rPr>
      </w:pPr>
      <w:r>
        <w:rPr>
          <w:rFonts w:cs="Arial"/>
        </w:rPr>
        <w:t>Most Improved Team of the Year</w:t>
      </w:r>
    </w:p>
    <w:p w:rsidR="00F855DE" w:rsidRPr="00356144" w:rsidRDefault="00356144" w:rsidP="0028754B">
      <w:pPr>
        <w:spacing w:before="120" w:after="120"/>
        <w:ind w:left="426"/>
        <w:rPr>
          <w:rFonts w:cs="Arial"/>
        </w:rPr>
      </w:pPr>
      <w:r>
        <w:rPr>
          <w:rFonts w:cs="Arial"/>
        </w:rPr>
        <w:t xml:space="preserve">The team were selected as winners </w:t>
      </w:r>
      <w:r w:rsidR="0028754B">
        <w:rPr>
          <w:rFonts w:cs="Arial"/>
        </w:rPr>
        <w:t xml:space="preserve">in the category </w:t>
      </w:r>
      <w:r w:rsidR="005D5FAF" w:rsidRPr="00356144">
        <w:rPr>
          <w:rFonts w:cs="Arial"/>
        </w:rPr>
        <w:t>o</w:t>
      </w:r>
      <w:r w:rsidR="0028754B">
        <w:rPr>
          <w:rFonts w:cs="Arial"/>
        </w:rPr>
        <w:t>f</w:t>
      </w:r>
      <w:r w:rsidR="005D5FAF" w:rsidRPr="00356144">
        <w:rPr>
          <w:rFonts w:cs="Arial"/>
        </w:rPr>
        <w:t xml:space="preserve"> </w:t>
      </w:r>
      <w:r w:rsidR="00674107" w:rsidRPr="00356144">
        <w:rPr>
          <w:rFonts w:cs="Arial"/>
        </w:rPr>
        <w:t xml:space="preserve">“Excellence in </w:t>
      </w:r>
      <w:r w:rsidRPr="00356144">
        <w:rPr>
          <w:rFonts w:cs="Arial"/>
        </w:rPr>
        <w:t>Innovation (General)</w:t>
      </w:r>
      <w:r w:rsidR="00674107" w:rsidRPr="00356144">
        <w:rPr>
          <w:rFonts w:cs="Arial"/>
        </w:rPr>
        <w:t>”</w:t>
      </w:r>
      <w:r w:rsidR="005D5FAF" w:rsidRPr="00356144">
        <w:rPr>
          <w:rFonts w:cs="Arial"/>
        </w:rPr>
        <w:t xml:space="preserve">. </w:t>
      </w:r>
      <w:r w:rsidRPr="00356144">
        <w:rPr>
          <w:rFonts w:cs="Arial"/>
        </w:rPr>
        <w:t>This was the second consecutive year that the team have been recognised as leaders in class, having won the award for Excellence in Corporate Fraud in October 2016.</w:t>
      </w:r>
    </w:p>
    <w:p w:rsidR="00A42B08" w:rsidRPr="00F855DE" w:rsidRDefault="00F855DE" w:rsidP="00F855DE">
      <w:pPr>
        <w:spacing w:before="120" w:after="120"/>
        <w:ind w:left="360" w:hanging="360"/>
        <w:rPr>
          <w:rFonts w:cs="Arial"/>
        </w:rPr>
      </w:pPr>
      <w:r>
        <w:rPr>
          <w:rFonts w:cs="Arial"/>
        </w:rPr>
        <w:t>7</w:t>
      </w:r>
      <w:r>
        <w:rPr>
          <w:rFonts w:cs="Arial"/>
        </w:rPr>
        <w:tab/>
      </w:r>
      <w:r w:rsidR="00674107" w:rsidRPr="00F855DE">
        <w:rPr>
          <w:rFonts w:cs="Arial"/>
        </w:rPr>
        <w:t>The Investigation Team host</w:t>
      </w:r>
      <w:r w:rsidR="00A42B08" w:rsidRPr="00F855DE">
        <w:rPr>
          <w:rFonts w:cs="Arial"/>
        </w:rPr>
        <w:t>ed</w:t>
      </w:r>
      <w:r w:rsidR="0028754B">
        <w:rPr>
          <w:rFonts w:cs="Arial"/>
        </w:rPr>
        <w:t xml:space="preserve"> its second annual conference on 14 September</w:t>
      </w:r>
      <w:r w:rsidR="00674107" w:rsidRPr="00F855DE">
        <w:rPr>
          <w:rFonts w:cs="Arial"/>
        </w:rPr>
        <w:t xml:space="preserve"> 201</w:t>
      </w:r>
      <w:r w:rsidR="0028754B">
        <w:rPr>
          <w:rFonts w:cs="Arial"/>
        </w:rPr>
        <w:t>7</w:t>
      </w:r>
      <w:r w:rsidR="00674107" w:rsidRPr="00F855DE">
        <w:rPr>
          <w:rFonts w:cs="Arial"/>
        </w:rPr>
        <w:t xml:space="preserve"> at Oxford Town Hall</w:t>
      </w:r>
      <w:r w:rsidR="003F04A4" w:rsidRPr="00F855DE">
        <w:rPr>
          <w:rFonts w:cs="Arial"/>
        </w:rPr>
        <w:t>. The aim of the event</w:t>
      </w:r>
      <w:r w:rsidR="00144900" w:rsidRPr="00F855DE">
        <w:rPr>
          <w:rFonts w:cs="Arial"/>
        </w:rPr>
        <w:t>,</w:t>
      </w:r>
      <w:r w:rsidR="003F04A4" w:rsidRPr="00F855DE">
        <w:rPr>
          <w:rFonts w:cs="Arial"/>
        </w:rPr>
        <w:t xml:space="preserve"> </w:t>
      </w:r>
      <w:r w:rsidR="00CF1594" w:rsidRPr="00F855DE">
        <w:rPr>
          <w:rFonts w:cs="Arial"/>
        </w:rPr>
        <w:t xml:space="preserve">which </w:t>
      </w:r>
      <w:r w:rsidR="00C57109" w:rsidRPr="00F855DE">
        <w:rPr>
          <w:rFonts w:cs="Arial"/>
        </w:rPr>
        <w:t>was</w:t>
      </w:r>
      <w:r w:rsidR="00CF1594" w:rsidRPr="00F855DE">
        <w:rPr>
          <w:rFonts w:cs="Arial"/>
        </w:rPr>
        <w:t xml:space="preserve"> free </w:t>
      </w:r>
      <w:r w:rsidR="00C57109" w:rsidRPr="00F855DE">
        <w:rPr>
          <w:rFonts w:cs="Arial"/>
        </w:rPr>
        <w:t>to attend</w:t>
      </w:r>
      <w:r w:rsidR="00144900" w:rsidRPr="00F855DE">
        <w:rPr>
          <w:rFonts w:cs="Arial"/>
        </w:rPr>
        <w:t>,</w:t>
      </w:r>
      <w:r w:rsidR="00CF1594" w:rsidRPr="00F855DE">
        <w:rPr>
          <w:rFonts w:cs="Arial"/>
        </w:rPr>
        <w:t xml:space="preserve"> </w:t>
      </w:r>
      <w:r w:rsidR="00A42B08" w:rsidRPr="00F855DE">
        <w:rPr>
          <w:rFonts w:cs="Arial"/>
        </w:rPr>
        <w:t>wa</w:t>
      </w:r>
      <w:r w:rsidR="003F04A4" w:rsidRPr="00F855DE">
        <w:rPr>
          <w:rFonts w:cs="Arial"/>
        </w:rPr>
        <w:t xml:space="preserve">s to help raise awareness of fraud trends and emerging risks to </w:t>
      </w:r>
      <w:r w:rsidR="00A710FB" w:rsidRPr="00F855DE">
        <w:rPr>
          <w:rFonts w:cs="Arial"/>
        </w:rPr>
        <w:t xml:space="preserve">attending </w:t>
      </w:r>
      <w:r w:rsidR="003F04A4" w:rsidRPr="00F855DE">
        <w:rPr>
          <w:rFonts w:cs="Arial"/>
        </w:rPr>
        <w:t>organisations</w:t>
      </w:r>
      <w:r w:rsidR="00A710FB" w:rsidRPr="00F855DE">
        <w:rPr>
          <w:rFonts w:cs="Arial"/>
        </w:rPr>
        <w:t xml:space="preserve">, and </w:t>
      </w:r>
      <w:r w:rsidR="00CF1594" w:rsidRPr="00F855DE">
        <w:rPr>
          <w:rFonts w:cs="Arial"/>
        </w:rPr>
        <w:t xml:space="preserve">raise awareness of </w:t>
      </w:r>
      <w:r w:rsidR="00A710FB" w:rsidRPr="00F855DE">
        <w:rPr>
          <w:rFonts w:cs="Arial"/>
        </w:rPr>
        <w:t>the services the Investigation</w:t>
      </w:r>
      <w:r w:rsidR="00CF1594" w:rsidRPr="00F855DE">
        <w:rPr>
          <w:rFonts w:cs="Arial"/>
        </w:rPr>
        <w:t>s</w:t>
      </w:r>
      <w:r w:rsidR="00A710FB" w:rsidRPr="00F855DE">
        <w:rPr>
          <w:rFonts w:cs="Arial"/>
        </w:rPr>
        <w:t xml:space="preserve"> Team </w:t>
      </w:r>
      <w:r w:rsidR="00CF1594" w:rsidRPr="00F855DE">
        <w:rPr>
          <w:rFonts w:cs="Arial"/>
        </w:rPr>
        <w:t>can offer</w:t>
      </w:r>
      <w:r w:rsidR="00A710FB" w:rsidRPr="00F855DE">
        <w:rPr>
          <w:rFonts w:cs="Arial"/>
        </w:rPr>
        <w:t>.</w:t>
      </w:r>
      <w:r w:rsidR="0028754B">
        <w:rPr>
          <w:rFonts w:cs="Arial"/>
        </w:rPr>
        <w:t xml:space="preserve"> The team is known in a commercial capacity as The Oxford Investigation Service.</w:t>
      </w:r>
    </w:p>
    <w:p w:rsidR="00F855DE" w:rsidRDefault="00F855DE" w:rsidP="00F855DE">
      <w:pPr>
        <w:pStyle w:val="ListParagraph"/>
        <w:spacing w:before="120" w:after="120"/>
        <w:ind w:left="360"/>
        <w:rPr>
          <w:rFonts w:cs="Arial"/>
        </w:rPr>
      </w:pPr>
    </w:p>
    <w:p w:rsidR="00A42B08" w:rsidRDefault="00A42B08" w:rsidP="00E71032">
      <w:pPr>
        <w:pStyle w:val="ListParagraph"/>
        <w:numPr>
          <w:ilvl w:val="0"/>
          <w:numId w:val="32"/>
        </w:numPr>
        <w:spacing w:before="120" w:after="120"/>
        <w:rPr>
          <w:rFonts w:cs="Arial"/>
        </w:rPr>
      </w:pPr>
      <w:r w:rsidRPr="00E71032">
        <w:rPr>
          <w:rFonts w:cs="Arial"/>
        </w:rPr>
        <w:t>The day was opened by the Deputy Leader</w:t>
      </w:r>
      <w:r w:rsidR="0028754B">
        <w:rPr>
          <w:rFonts w:cs="Arial"/>
        </w:rPr>
        <w:t xml:space="preserve"> of the Council</w:t>
      </w:r>
      <w:r w:rsidRPr="00E71032">
        <w:rPr>
          <w:rFonts w:cs="Arial"/>
        </w:rPr>
        <w:t xml:space="preserve">, the </w:t>
      </w:r>
      <w:r w:rsidR="0028754B">
        <w:rPr>
          <w:rFonts w:cs="Arial"/>
        </w:rPr>
        <w:t xml:space="preserve">Interim </w:t>
      </w:r>
      <w:r w:rsidRPr="00E71032">
        <w:rPr>
          <w:rFonts w:cs="Arial"/>
        </w:rPr>
        <w:t xml:space="preserve">Chief </w:t>
      </w:r>
      <w:r w:rsidR="0028754B">
        <w:rPr>
          <w:rFonts w:cs="Arial"/>
        </w:rPr>
        <w:t xml:space="preserve">Executive and the Chief </w:t>
      </w:r>
      <w:r w:rsidRPr="00E71032">
        <w:rPr>
          <w:rFonts w:cs="Arial"/>
        </w:rPr>
        <w:t>Financial</w:t>
      </w:r>
      <w:r w:rsidR="0028754B">
        <w:rPr>
          <w:rFonts w:cs="Arial"/>
        </w:rPr>
        <w:t xml:space="preserve"> Officer</w:t>
      </w:r>
      <w:r w:rsidRPr="00E71032">
        <w:rPr>
          <w:rFonts w:cs="Arial"/>
        </w:rPr>
        <w:t>.</w:t>
      </w:r>
    </w:p>
    <w:p w:rsidR="00F855DE" w:rsidRPr="00F855DE" w:rsidRDefault="00F855DE" w:rsidP="00F855DE">
      <w:pPr>
        <w:pStyle w:val="ListParagraph"/>
        <w:rPr>
          <w:rFonts w:cs="Arial"/>
        </w:rPr>
      </w:pPr>
    </w:p>
    <w:p w:rsidR="00C57109" w:rsidRDefault="00C57109" w:rsidP="00E71032">
      <w:pPr>
        <w:pStyle w:val="ListParagraph"/>
        <w:numPr>
          <w:ilvl w:val="0"/>
          <w:numId w:val="32"/>
        </w:numPr>
        <w:spacing w:before="120" w:after="120"/>
        <w:rPr>
          <w:rFonts w:cs="Arial"/>
        </w:rPr>
      </w:pPr>
      <w:r w:rsidRPr="00E71032">
        <w:rPr>
          <w:rFonts w:cs="Arial"/>
        </w:rPr>
        <w:t>Over 1</w:t>
      </w:r>
      <w:r w:rsidR="003A626C">
        <w:rPr>
          <w:rFonts w:cs="Arial"/>
        </w:rPr>
        <w:t>2</w:t>
      </w:r>
      <w:r w:rsidRPr="00E71032">
        <w:rPr>
          <w:rFonts w:cs="Arial"/>
        </w:rPr>
        <w:t xml:space="preserve">0 delegates attended the event which was full to capacity. </w:t>
      </w:r>
      <w:r w:rsidR="003A626C">
        <w:rPr>
          <w:rFonts w:cs="Arial"/>
        </w:rPr>
        <w:t xml:space="preserve">For the second year, it was possible to keep the event as free-to-attend. Some of the costs were covered from charges made to exhibitors to attend with trade stands, as well as sponsorship arrangements. In June 2017, the Audit &amp; Governance Committee agreed to make funding available specifically to ensure any costs not covered </w:t>
      </w:r>
      <w:r w:rsidR="00180434">
        <w:rPr>
          <w:rFonts w:cs="Arial"/>
        </w:rPr>
        <w:t>through sponsors and exhibitors</w:t>
      </w:r>
      <w:r w:rsidR="003A626C">
        <w:rPr>
          <w:rFonts w:cs="Arial"/>
        </w:rPr>
        <w:t xml:space="preserve"> were compensated, ensuring that delegates did not have to pay for places, which helped considerably in ensuring high attendance.</w:t>
      </w:r>
    </w:p>
    <w:p w:rsidR="008075A2" w:rsidRPr="008075A2" w:rsidRDefault="008075A2" w:rsidP="008075A2">
      <w:pPr>
        <w:spacing w:before="120" w:after="120"/>
        <w:rPr>
          <w:rFonts w:cs="Arial"/>
        </w:rPr>
      </w:pPr>
    </w:p>
    <w:p w:rsidR="00BD67DF" w:rsidRDefault="008075A2" w:rsidP="008075A2">
      <w:pPr>
        <w:pStyle w:val="ListParagraph"/>
        <w:numPr>
          <w:ilvl w:val="0"/>
          <w:numId w:val="32"/>
        </w:numPr>
        <w:spacing w:before="120" w:after="120"/>
        <w:rPr>
          <w:rFonts w:cs="Arial"/>
        </w:rPr>
      </w:pPr>
      <w:r>
        <w:rPr>
          <w:rFonts w:cs="Arial"/>
        </w:rPr>
        <w:t xml:space="preserve">A follow up survey was issued to all delegates after the event and a high number of responses were received. Comments were very positive around the venue, event structure, speakers and topics covered. There were a number of specific comments around how well supported the team are by Chief Officers and Members, and evident appreciation for the professionalism of the event, given that it was organised by a team that do not specialise </w:t>
      </w:r>
    </w:p>
    <w:p w:rsidR="008075A2" w:rsidRPr="008075A2" w:rsidRDefault="008075A2" w:rsidP="008075A2">
      <w:pPr>
        <w:spacing w:before="120" w:after="120"/>
        <w:rPr>
          <w:rFonts w:cs="Arial"/>
        </w:rPr>
      </w:pPr>
    </w:p>
    <w:p w:rsidR="00BD67DF" w:rsidRPr="00E71032" w:rsidRDefault="008F264B" w:rsidP="00E71032">
      <w:pPr>
        <w:pStyle w:val="ListParagraph"/>
        <w:numPr>
          <w:ilvl w:val="0"/>
          <w:numId w:val="32"/>
        </w:numPr>
        <w:rPr>
          <w:rFonts w:cs="Arial"/>
        </w:rPr>
      </w:pPr>
      <w:r>
        <w:rPr>
          <w:rFonts w:cs="Arial"/>
        </w:rPr>
        <w:t xml:space="preserve">Delegates were asked to complete contact cards where an opportunity to express interest in services offered by the Oxford Investigation Service could be made. As a result of the responses, the team followed up leads in the weeks after the conference, several of which converted to contractual business relationships </w:t>
      </w:r>
      <w:r w:rsidR="00FF647E">
        <w:rPr>
          <w:rFonts w:cs="Arial"/>
        </w:rPr>
        <w:t>which ultimately enhanced the trading income delivered by the team in the year</w:t>
      </w:r>
      <w:r w:rsidR="00BD67DF" w:rsidRPr="00E71032">
        <w:rPr>
          <w:rFonts w:cs="Arial"/>
        </w:rPr>
        <w:t>.</w:t>
      </w:r>
    </w:p>
    <w:p w:rsidR="00BD67DF" w:rsidRPr="00BD67DF" w:rsidRDefault="00BD67DF" w:rsidP="00BD67DF">
      <w:pPr>
        <w:ind w:left="1080"/>
        <w:rPr>
          <w:rFonts w:cs="Arial"/>
        </w:rPr>
      </w:pPr>
    </w:p>
    <w:p w:rsidR="00A40937" w:rsidRPr="00E71032" w:rsidRDefault="00BD67DF" w:rsidP="00E71032">
      <w:pPr>
        <w:pStyle w:val="ListParagraph"/>
        <w:numPr>
          <w:ilvl w:val="0"/>
          <w:numId w:val="32"/>
        </w:numPr>
        <w:spacing w:before="120" w:after="120"/>
        <w:rPr>
          <w:rFonts w:cs="Arial"/>
        </w:rPr>
      </w:pPr>
      <w:r w:rsidRPr="00E71032">
        <w:rPr>
          <w:rFonts w:cs="Arial"/>
        </w:rPr>
        <w:t>Based on the success of the event</w:t>
      </w:r>
      <w:r w:rsidR="00FF647E">
        <w:rPr>
          <w:rFonts w:cs="Arial"/>
        </w:rPr>
        <w:t xml:space="preserve">s in both 2016 and 2017, the positive feedback received and the reputation of the event as essential to attend for those in the profession, and the lucrative outcomes from business relationships with new partner organisations, a decision was taken to host a conference on an annual basis, the next of which is scheduled for 20 September 2018. </w:t>
      </w:r>
    </w:p>
    <w:p w:rsidR="00A710FB" w:rsidRPr="00A42B08" w:rsidRDefault="00A710FB" w:rsidP="00A42B08">
      <w:pPr>
        <w:spacing w:before="120" w:after="120"/>
        <w:rPr>
          <w:rFonts w:cs="Arial"/>
        </w:rPr>
      </w:pPr>
      <w:r w:rsidRPr="00A42B08">
        <w:rPr>
          <w:rFonts w:cs="Arial"/>
        </w:rPr>
        <w:t xml:space="preserve"> </w:t>
      </w:r>
    </w:p>
    <w:p w:rsidR="00235785" w:rsidRDefault="00FC03A1" w:rsidP="00FC03A1">
      <w:pPr>
        <w:rPr>
          <w:rFonts w:cs="Arial"/>
          <w:b/>
        </w:rPr>
      </w:pPr>
      <w:r>
        <w:rPr>
          <w:rFonts w:cs="Arial"/>
          <w:b/>
        </w:rPr>
        <w:t xml:space="preserve">     Internal Investigations</w:t>
      </w:r>
    </w:p>
    <w:p w:rsidR="004D2AC1" w:rsidRDefault="004D2AC1" w:rsidP="00FC03A1">
      <w:pPr>
        <w:rPr>
          <w:rFonts w:cs="Arial"/>
          <w:b/>
        </w:rPr>
      </w:pPr>
    </w:p>
    <w:p w:rsidR="00FC03A1" w:rsidRPr="00663062" w:rsidRDefault="004832DF" w:rsidP="00E71032">
      <w:pPr>
        <w:pStyle w:val="ListParagraph"/>
        <w:numPr>
          <w:ilvl w:val="0"/>
          <w:numId w:val="32"/>
        </w:numPr>
        <w:rPr>
          <w:rFonts w:cs="Arial"/>
        </w:rPr>
      </w:pPr>
      <w:r w:rsidRPr="00A710FB">
        <w:rPr>
          <w:rFonts w:cs="Arial"/>
          <w:b/>
        </w:rPr>
        <w:t xml:space="preserve">Appendix </w:t>
      </w:r>
      <w:r w:rsidR="008F264B">
        <w:rPr>
          <w:rFonts w:cs="Arial"/>
          <w:b/>
        </w:rPr>
        <w:t>2</w:t>
      </w:r>
      <w:r>
        <w:rPr>
          <w:rFonts w:cs="Arial"/>
        </w:rPr>
        <w:t xml:space="preserve"> </w:t>
      </w:r>
      <w:r w:rsidR="00577436">
        <w:rPr>
          <w:rFonts w:cs="Arial"/>
        </w:rPr>
        <w:t xml:space="preserve">provides details of the internal </w:t>
      </w:r>
      <w:r w:rsidR="00790EA7">
        <w:rPr>
          <w:rFonts w:cs="Arial"/>
        </w:rPr>
        <w:t>investigations</w:t>
      </w:r>
      <w:r w:rsidR="00FF647E">
        <w:rPr>
          <w:rFonts w:cs="Arial"/>
        </w:rPr>
        <w:t xml:space="preserve"> conducted </w:t>
      </w:r>
      <w:r w:rsidR="00790EA7">
        <w:rPr>
          <w:rFonts w:cs="Arial"/>
        </w:rPr>
        <w:t>during the period.</w:t>
      </w:r>
    </w:p>
    <w:p w:rsidR="006B7BB3" w:rsidRDefault="006B7BB3" w:rsidP="00790EA7">
      <w:pPr>
        <w:ind w:left="360"/>
        <w:rPr>
          <w:rFonts w:cs="Arial"/>
          <w:b/>
        </w:rPr>
      </w:pPr>
    </w:p>
    <w:p w:rsidR="00A35036" w:rsidRDefault="00542C6B" w:rsidP="00790EA7">
      <w:pPr>
        <w:ind w:left="360"/>
        <w:rPr>
          <w:rFonts w:cs="Arial"/>
          <w:b/>
        </w:rPr>
      </w:pPr>
      <w:r>
        <w:rPr>
          <w:rFonts w:cs="Arial"/>
          <w:b/>
        </w:rPr>
        <w:t>Commercial Activity</w:t>
      </w:r>
    </w:p>
    <w:p w:rsidR="004D2AC1" w:rsidRPr="00A35036" w:rsidRDefault="004D2AC1" w:rsidP="00790EA7">
      <w:pPr>
        <w:ind w:left="360"/>
        <w:rPr>
          <w:rFonts w:cs="Arial"/>
          <w:b/>
        </w:rPr>
      </w:pPr>
    </w:p>
    <w:p w:rsidR="00235785" w:rsidRDefault="00513ABE" w:rsidP="00E71032">
      <w:pPr>
        <w:pStyle w:val="ListParagraph"/>
        <w:numPr>
          <w:ilvl w:val="0"/>
          <w:numId w:val="32"/>
        </w:numPr>
        <w:rPr>
          <w:rFonts w:cs="Arial"/>
        </w:rPr>
      </w:pPr>
      <w:r>
        <w:rPr>
          <w:rFonts w:cs="Arial"/>
        </w:rPr>
        <w:t>Fraud</w:t>
      </w:r>
      <w:r w:rsidR="006E1D47">
        <w:rPr>
          <w:rFonts w:cs="Arial"/>
        </w:rPr>
        <w:t xml:space="preserve"> </w:t>
      </w:r>
      <w:r w:rsidR="00577436">
        <w:rPr>
          <w:rFonts w:cs="Arial"/>
        </w:rPr>
        <w:t>H</w:t>
      </w:r>
      <w:r w:rsidR="006E1D47">
        <w:rPr>
          <w:rFonts w:cs="Arial"/>
        </w:rPr>
        <w:t>ub working arrangements</w:t>
      </w:r>
      <w:r w:rsidR="005B7A29">
        <w:rPr>
          <w:rFonts w:cs="Arial"/>
        </w:rPr>
        <w:t xml:space="preserve"> </w:t>
      </w:r>
      <w:r w:rsidR="00790EA7">
        <w:rPr>
          <w:rFonts w:cs="Arial"/>
        </w:rPr>
        <w:t xml:space="preserve">remain in place with </w:t>
      </w:r>
      <w:r w:rsidR="00D96083">
        <w:rPr>
          <w:rFonts w:cs="Arial"/>
        </w:rPr>
        <w:t xml:space="preserve">services being </w:t>
      </w:r>
      <w:r w:rsidR="00A630FF">
        <w:rPr>
          <w:rFonts w:cs="Arial"/>
        </w:rPr>
        <w:t xml:space="preserve">contractually </w:t>
      </w:r>
      <w:r w:rsidR="00D96083">
        <w:rPr>
          <w:rFonts w:cs="Arial"/>
        </w:rPr>
        <w:t xml:space="preserve">provided to </w:t>
      </w:r>
      <w:r w:rsidR="00542C6B">
        <w:rPr>
          <w:rFonts w:cs="Arial"/>
        </w:rPr>
        <w:t xml:space="preserve">multiple partner organisations in both the public and private sector. Business development activity is now embedded as part of the team culture as plans to bring more partners on board take shape. </w:t>
      </w:r>
    </w:p>
    <w:p w:rsidR="00F855DE" w:rsidRDefault="00F855DE" w:rsidP="00F855DE">
      <w:pPr>
        <w:pStyle w:val="ListParagraph"/>
        <w:ind w:left="360"/>
        <w:rPr>
          <w:rFonts w:cs="Arial"/>
        </w:rPr>
      </w:pPr>
    </w:p>
    <w:p w:rsidR="00F855DE" w:rsidRDefault="00F855DE" w:rsidP="00F855DE">
      <w:pPr>
        <w:pStyle w:val="ListParagraph"/>
        <w:numPr>
          <w:ilvl w:val="0"/>
          <w:numId w:val="32"/>
        </w:numPr>
        <w:rPr>
          <w:rFonts w:cs="Arial"/>
        </w:rPr>
      </w:pPr>
      <w:r w:rsidRPr="00311DCC">
        <w:rPr>
          <w:rFonts w:cs="Arial"/>
        </w:rPr>
        <w:t xml:space="preserve">The team is known commercially as The Oxford Investigation Service and has a brochure and promotional materials to assist the objective of business development. </w:t>
      </w:r>
    </w:p>
    <w:p w:rsidR="00311DCC" w:rsidRPr="00311DCC" w:rsidRDefault="00311DCC" w:rsidP="00311DCC">
      <w:pPr>
        <w:rPr>
          <w:rFonts w:cs="Arial"/>
        </w:rPr>
      </w:pPr>
    </w:p>
    <w:p w:rsidR="00F855DE" w:rsidRPr="00E71032" w:rsidRDefault="00F855DE" w:rsidP="00F855DE">
      <w:pPr>
        <w:pStyle w:val="ListParagraph"/>
        <w:numPr>
          <w:ilvl w:val="0"/>
          <w:numId w:val="32"/>
        </w:numPr>
        <w:rPr>
          <w:rFonts w:cs="Arial"/>
        </w:rPr>
      </w:pPr>
      <w:r w:rsidRPr="00E71032">
        <w:rPr>
          <w:rFonts w:cs="Arial"/>
        </w:rPr>
        <w:t xml:space="preserve">Promotional activity, in addition to the Oxford Open Day event, includes speaking slots at relevant conferences, mailshots, </w:t>
      </w:r>
      <w:proofErr w:type="gramStart"/>
      <w:r w:rsidRPr="00E71032">
        <w:rPr>
          <w:rFonts w:cs="Arial"/>
        </w:rPr>
        <w:t>meetings</w:t>
      </w:r>
      <w:proofErr w:type="gramEnd"/>
      <w:r w:rsidRPr="00E71032">
        <w:rPr>
          <w:rFonts w:cs="Arial"/>
        </w:rPr>
        <w:t xml:space="preserve"> </w:t>
      </w:r>
      <w:r w:rsidR="00311DCC">
        <w:rPr>
          <w:rFonts w:cs="Arial"/>
        </w:rPr>
        <w:t xml:space="preserve">with prospective clients </w:t>
      </w:r>
      <w:r w:rsidRPr="00E71032">
        <w:rPr>
          <w:rFonts w:cs="Arial"/>
        </w:rPr>
        <w:t>attending conferences as exhibitors with a dedicated trade stand.</w:t>
      </w:r>
    </w:p>
    <w:p w:rsidR="00D81D56" w:rsidRDefault="00D81D56" w:rsidP="00542C6B">
      <w:pPr>
        <w:ind w:left="360"/>
        <w:rPr>
          <w:rFonts w:cs="Arial"/>
        </w:rPr>
      </w:pPr>
    </w:p>
    <w:p w:rsidR="00D81D56" w:rsidRPr="00E71032" w:rsidRDefault="00D81D56" w:rsidP="00E71032">
      <w:pPr>
        <w:pStyle w:val="ListParagraph"/>
        <w:numPr>
          <w:ilvl w:val="0"/>
          <w:numId w:val="38"/>
        </w:numPr>
        <w:rPr>
          <w:rFonts w:cs="Arial"/>
        </w:rPr>
      </w:pPr>
      <w:r w:rsidRPr="00E71032">
        <w:rPr>
          <w:rFonts w:cs="Arial"/>
        </w:rPr>
        <w:t>The increasing number of successful projects and activities delivered for Oxford City Council has assisted in developing a range of services that can be offered to partner organisations</w:t>
      </w:r>
      <w:r w:rsidR="00705CC1" w:rsidRPr="00E71032">
        <w:rPr>
          <w:rFonts w:cs="Arial"/>
        </w:rPr>
        <w:t xml:space="preserve"> and prospective clients</w:t>
      </w:r>
      <w:r w:rsidRPr="00E71032">
        <w:rPr>
          <w:rFonts w:cs="Arial"/>
        </w:rPr>
        <w:t xml:space="preserve">. For each marketable service, pricing options are </w:t>
      </w:r>
      <w:r w:rsidR="00705CC1" w:rsidRPr="00E71032">
        <w:rPr>
          <w:rFonts w:cs="Arial"/>
        </w:rPr>
        <w:t>developed with the assistance of Financial Services Accountants to ensure compliance with financial regulations, ethical trading, and financial feasibility.</w:t>
      </w:r>
    </w:p>
    <w:p w:rsidR="00440973" w:rsidRDefault="00440973" w:rsidP="004D2AC1">
      <w:pPr>
        <w:rPr>
          <w:rFonts w:cs="Arial"/>
          <w:b/>
        </w:rPr>
      </w:pPr>
    </w:p>
    <w:p w:rsidR="001F5EB0" w:rsidRDefault="001F5EB0" w:rsidP="001F5EB0">
      <w:pPr>
        <w:ind w:firstLine="360"/>
        <w:rPr>
          <w:rFonts w:cs="Arial"/>
          <w:b/>
        </w:rPr>
      </w:pPr>
      <w:r w:rsidRPr="001F5EB0">
        <w:rPr>
          <w:rFonts w:cs="Arial"/>
          <w:b/>
        </w:rPr>
        <w:t>Partnership Working</w:t>
      </w:r>
    </w:p>
    <w:p w:rsidR="00311DCC" w:rsidRPr="001F5EB0" w:rsidRDefault="00311DCC" w:rsidP="001F5EB0">
      <w:pPr>
        <w:ind w:firstLine="360"/>
        <w:rPr>
          <w:rFonts w:cs="Arial"/>
          <w:b/>
        </w:rPr>
      </w:pPr>
    </w:p>
    <w:p w:rsidR="00311DCC" w:rsidRDefault="00311DCC" w:rsidP="00E71032">
      <w:pPr>
        <w:pStyle w:val="ListParagraph"/>
        <w:numPr>
          <w:ilvl w:val="0"/>
          <w:numId w:val="38"/>
        </w:numPr>
        <w:rPr>
          <w:rFonts w:cs="Arial"/>
        </w:rPr>
      </w:pPr>
      <w:r>
        <w:rPr>
          <w:rFonts w:cs="Arial"/>
        </w:rPr>
        <w:t>The team has provided Counter-Fraud and Investigation services to multiple client organisations in both the public and private sectors</w:t>
      </w:r>
      <w:r w:rsidR="00440973">
        <w:rPr>
          <w:rFonts w:cs="Arial"/>
        </w:rPr>
        <w:t>, the result of which was a trading income of over £180k</w:t>
      </w:r>
      <w:r>
        <w:rPr>
          <w:rFonts w:cs="Arial"/>
        </w:rPr>
        <w:t>. In the period, the team provided products and services to the following organisations:</w:t>
      </w:r>
    </w:p>
    <w:p w:rsidR="00311DCC" w:rsidRDefault="00440973" w:rsidP="00311DCC">
      <w:pPr>
        <w:pStyle w:val="ListParagraph"/>
        <w:numPr>
          <w:ilvl w:val="0"/>
          <w:numId w:val="46"/>
        </w:numPr>
        <w:rPr>
          <w:rFonts w:cs="Arial"/>
        </w:rPr>
      </w:pPr>
      <w:r>
        <w:rPr>
          <w:rFonts w:cs="Arial"/>
        </w:rPr>
        <w:t>South Oxfordshire District Council</w:t>
      </w:r>
    </w:p>
    <w:p w:rsidR="00440973" w:rsidRDefault="00440973" w:rsidP="00311DCC">
      <w:pPr>
        <w:pStyle w:val="ListParagraph"/>
        <w:numPr>
          <w:ilvl w:val="0"/>
          <w:numId w:val="46"/>
        </w:numPr>
        <w:rPr>
          <w:rFonts w:cs="Arial"/>
        </w:rPr>
      </w:pPr>
      <w:r>
        <w:rPr>
          <w:rFonts w:cs="Arial"/>
        </w:rPr>
        <w:t>Vale of White Horse District Council</w:t>
      </w:r>
    </w:p>
    <w:p w:rsidR="00440973" w:rsidRDefault="00440973" w:rsidP="00311DCC">
      <w:pPr>
        <w:pStyle w:val="ListParagraph"/>
        <w:numPr>
          <w:ilvl w:val="0"/>
          <w:numId w:val="46"/>
        </w:numPr>
        <w:rPr>
          <w:rFonts w:cs="Arial"/>
        </w:rPr>
      </w:pPr>
      <w:r>
        <w:rPr>
          <w:rFonts w:cs="Arial"/>
        </w:rPr>
        <w:t>Capita</w:t>
      </w:r>
    </w:p>
    <w:p w:rsidR="00440973" w:rsidRDefault="00440973" w:rsidP="00311DCC">
      <w:pPr>
        <w:pStyle w:val="ListParagraph"/>
        <w:numPr>
          <w:ilvl w:val="0"/>
          <w:numId w:val="46"/>
        </w:numPr>
        <w:rPr>
          <w:rFonts w:cs="Arial"/>
        </w:rPr>
      </w:pPr>
      <w:r>
        <w:rPr>
          <w:rFonts w:cs="Arial"/>
        </w:rPr>
        <w:t>Oxfordshire County Council Audit Team</w:t>
      </w:r>
    </w:p>
    <w:p w:rsidR="00440973" w:rsidRDefault="00440973" w:rsidP="00311DCC">
      <w:pPr>
        <w:pStyle w:val="ListParagraph"/>
        <w:numPr>
          <w:ilvl w:val="0"/>
          <w:numId w:val="46"/>
        </w:numPr>
        <w:rPr>
          <w:rFonts w:cs="Arial"/>
        </w:rPr>
      </w:pPr>
      <w:r>
        <w:rPr>
          <w:rFonts w:cs="Arial"/>
        </w:rPr>
        <w:t>Oxfordshire County Council Blue Badge Team</w:t>
      </w:r>
    </w:p>
    <w:p w:rsidR="00440973" w:rsidRDefault="00440973" w:rsidP="00311DCC">
      <w:pPr>
        <w:pStyle w:val="ListParagraph"/>
        <w:numPr>
          <w:ilvl w:val="0"/>
          <w:numId w:val="46"/>
        </w:numPr>
        <w:rPr>
          <w:rFonts w:cs="Arial"/>
        </w:rPr>
      </w:pPr>
      <w:r>
        <w:rPr>
          <w:rFonts w:cs="Arial"/>
        </w:rPr>
        <w:t>Trust ID</w:t>
      </w:r>
    </w:p>
    <w:p w:rsidR="00440973" w:rsidRDefault="00440973" w:rsidP="00311DCC">
      <w:pPr>
        <w:pStyle w:val="ListParagraph"/>
        <w:numPr>
          <w:ilvl w:val="0"/>
          <w:numId w:val="46"/>
        </w:numPr>
        <w:rPr>
          <w:rFonts w:cs="Arial"/>
        </w:rPr>
      </w:pPr>
      <w:proofErr w:type="spellStart"/>
      <w:r>
        <w:rPr>
          <w:rFonts w:cs="Arial"/>
        </w:rPr>
        <w:t>Altia</w:t>
      </w:r>
      <w:proofErr w:type="spellEnd"/>
      <w:r>
        <w:rPr>
          <w:rFonts w:cs="Arial"/>
        </w:rPr>
        <w:t xml:space="preserve"> Solutions</w:t>
      </w:r>
    </w:p>
    <w:p w:rsidR="00440973" w:rsidRDefault="00440973" w:rsidP="00311DCC">
      <w:pPr>
        <w:pStyle w:val="ListParagraph"/>
        <w:numPr>
          <w:ilvl w:val="0"/>
          <w:numId w:val="46"/>
        </w:numPr>
        <w:rPr>
          <w:rFonts w:cs="Arial"/>
        </w:rPr>
      </w:pPr>
      <w:r>
        <w:rPr>
          <w:rFonts w:cs="Arial"/>
        </w:rPr>
        <w:t>ITS Training</w:t>
      </w:r>
    </w:p>
    <w:p w:rsidR="00440973" w:rsidRDefault="00440973" w:rsidP="00440973">
      <w:pPr>
        <w:pStyle w:val="ListParagraph"/>
        <w:numPr>
          <w:ilvl w:val="0"/>
          <w:numId w:val="46"/>
        </w:numPr>
        <w:rPr>
          <w:rFonts w:cs="Arial"/>
        </w:rPr>
      </w:pPr>
      <w:r>
        <w:rPr>
          <w:rFonts w:cs="Arial"/>
        </w:rPr>
        <w:t>CAF Solutions</w:t>
      </w:r>
    </w:p>
    <w:p w:rsidR="00440973" w:rsidRDefault="00440973" w:rsidP="00440973">
      <w:pPr>
        <w:pStyle w:val="ListParagraph"/>
        <w:numPr>
          <w:ilvl w:val="0"/>
          <w:numId w:val="46"/>
        </w:numPr>
        <w:rPr>
          <w:rFonts w:cs="Arial"/>
        </w:rPr>
      </w:pPr>
      <w:r>
        <w:rPr>
          <w:rFonts w:cs="Arial"/>
        </w:rPr>
        <w:t>Experian</w:t>
      </w:r>
    </w:p>
    <w:p w:rsidR="00440973" w:rsidRDefault="00440973" w:rsidP="00440973">
      <w:pPr>
        <w:pStyle w:val="ListParagraph"/>
        <w:numPr>
          <w:ilvl w:val="0"/>
          <w:numId w:val="46"/>
        </w:numPr>
        <w:rPr>
          <w:rFonts w:cs="Arial"/>
        </w:rPr>
      </w:pPr>
      <w:proofErr w:type="spellStart"/>
      <w:r>
        <w:rPr>
          <w:rFonts w:cs="Arial"/>
        </w:rPr>
        <w:t>Engenium</w:t>
      </w:r>
      <w:proofErr w:type="spellEnd"/>
    </w:p>
    <w:p w:rsidR="00440973" w:rsidRDefault="00440973" w:rsidP="00440973">
      <w:pPr>
        <w:pStyle w:val="ListParagraph"/>
        <w:numPr>
          <w:ilvl w:val="0"/>
          <w:numId w:val="46"/>
        </w:numPr>
        <w:rPr>
          <w:rFonts w:cs="Arial"/>
        </w:rPr>
      </w:pPr>
      <w:r>
        <w:rPr>
          <w:rFonts w:cs="Arial"/>
        </w:rPr>
        <w:t>Intec for Business</w:t>
      </w:r>
    </w:p>
    <w:p w:rsidR="00440973" w:rsidRDefault="00440973" w:rsidP="00440973">
      <w:pPr>
        <w:pStyle w:val="ListParagraph"/>
        <w:numPr>
          <w:ilvl w:val="0"/>
          <w:numId w:val="46"/>
        </w:numPr>
        <w:rPr>
          <w:rFonts w:cs="Arial"/>
        </w:rPr>
      </w:pPr>
      <w:r>
        <w:rPr>
          <w:rFonts w:cs="Arial"/>
        </w:rPr>
        <w:t>Riverside Housing Association</w:t>
      </w:r>
    </w:p>
    <w:p w:rsidR="00440973" w:rsidRDefault="00440973" w:rsidP="00440973">
      <w:pPr>
        <w:pStyle w:val="ListParagraph"/>
        <w:numPr>
          <w:ilvl w:val="0"/>
          <w:numId w:val="46"/>
        </w:numPr>
        <w:rPr>
          <w:rFonts w:cs="Arial"/>
        </w:rPr>
      </w:pPr>
      <w:proofErr w:type="spellStart"/>
      <w:r>
        <w:rPr>
          <w:rFonts w:cs="Arial"/>
        </w:rPr>
        <w:t>Hightown</w:t>
      </w:r>
      <w:proofErr w:type="spellEnd"/>
      <w:r>
        <w:rPr>
          <w:rFonts w:cs="Arial"/>
        </w:rPr>
        <w:t xml:space="preserve"> Housing Association</w:t>
      </w:r>
    </w:p>
    <w:p w:rsidR="00440973" w:rsidRDefault="00440973" w:rsidP="00440973">
      <w:pPr>
        <w:pStyle w:val="ListParagraph"/>
        <w:numPr>
          <w:ilvl w:val="0"/>
          <w:numId w:val="46"/>
        </w:numPr>
        <w:rPr>
          <w:rFonts w:cs="Arial"/>
        </w:rPr>
      </w:pPr>
      <w:r>
        <w:rPr>
          <w:rFonts w:cs="Arial"/>
        </w:rPr>
        <w:t>Reading Borough Council</w:t>
      </w:r>
    </w:p>
    <w:p w:rsidR="00440973" w:rsidRPr="00440973" w:rsidRDefault="00440973" w:rsidP="00440973">
      <w:pPr>
        <w:pStyle w:val="ListParagraph"/>
        <w:numPr>
          <w:ilvl w:val="0"/>
          <w:numId w:val="46"/>
        </w:numPr>
        <w:rPr>
          <w:rFonts w:cs="Arial"/>
        </w:rPr>
      </w:pPr>
      <w:r>
        <w:rPr>
          <w:rFonts w:cs="Arial"/>
        </w:rPr>
        <w:t>Warwick District Council</w:t>
      </w:r>
    </w:p>
    <w:p w:rsidR="00311DCC" w:rsidRDefault="00311DCC" w:rsidP="00311DCC">
      <w:pPr>
        <w:rPr>
          <w:rFonts w:cs="Arial"/>
        </w:rPr>
      </w:pPr>
    </w:p>
    <w:p w:rsidR="004D2AC1" w:rsidRPr="00311DCC" w:rsidRDefault="004D2AC1" w:rsidP="00311DCC">
      <w:pPr>
        <w:rPr>
          <w:rFonts w:cs="Arial"/>
        </w:rPr>
      </w:pPr>
    </w:p>
    <w:p w:rsidR="00440973" w:rsidRDefault="00440973" w:rsidP="00E71032">
      <w:pPr>
        <w:pStyle w:val="ListParagraph"/>
        <w:numPr>
          <w:ilvl w:val="0"/>
          <w:numId w:val="38"/>
        </w:numPr>
        <w:rPr>
          <w:rFonts w:cs="Arial"/>
        </w:rPr>
      </w:pPr>
      <w:r>
        <w:rPr>
          <w:rFonts w:cs="Arial"/>
        </w:rPr>
        <w:t xml:space="preserve">Some examples of particular success in this area </w:t>
      </w:r>
      <w:r w:rsidR="004A1F3A">
        <w:rPr>
          <w:rFonts w:cs="Arial"/>
        </w:rPr>
        <w:t>include</w:t>
      </w:r>
      <w:r>
        <w:rPr>
          <w:rFonts w:cs="Arial"/>
        </w:rPr>
        <w:t xml:space="preserve"> a proactive Empty Homes review exercise delivered on behal</w:t>
      </w:r>
      <w:r w:rsidR="004A1F3A">
        <w:rPr>
          <w:rFonts w:cs="Arial"/>
        </w:rPr>
        <w:t>f of Reading Borough Council (RBC) in August and September 2017. The aim of the exercise was to identify properties, categorised as long term empties for Council Tax purposes, which have been occupied but records not updated by the authority. Each property found to be occupied then attracts subsidy from the Ministry of Housing and Local Government under the New Homes Bonus scheme. The four week exercise, delivered on a risk and reward basis, was responsible for generating subsidy of over £600,000 for RBC.</w:t>
      </w:r>
    </w:p>
    <w:p w:rsidR="004A1F3A" w:rsidRDefault="004A1F3A" w:rsidP="004A1F3A">
      <w:pPr>
        <w:rPr>
          <w:rFonts w:cs="Arial"/>
        </w:rPr>
      </w:pPr>
    </w:p>
    <w:p w:rsidR="004A1F3A" w:rsidRDefault="004A1F3A" w:rsidP="004A1F3A">
      <w:pPr>
        <w:pStyle w:val="ListParagraph"/>
        <w:numPr>
          <w:ilvl w:val="0"/>
          <w:numId w:val="2"/>
        </w:numPr>
        <w:rPr>
          <w:rFonts w:cs="Arial"/>
        </w:rPr>
      </w:pPr>
      <w:r>
        <w:rPr>
          <w:rFonts w:cs="Arial"/>
        </w:rPr>
        <w:t xml:space="preserve">The acting Head of Finance at RBC provided a testimonial as a result of the service </w:t>
      </w:r>
      <w:proofErr w:type="gramStart"/>
      <w:r>
        <w:rPr>
          <w:rFonts w:cs="Arial"/>
        </w:rPr>
        <w:t>delivered,</w:t>
      </w:r>
      <w:proofErr w:type="gramEnd"/>
      <w:r>
        <w:rPr>
          <w:rFonts w:cs="Arial"/>
        </w:rPr>
        <w:t xml:space="preserve"> the outcomes and the value for money enjoyed by the authority.</w:t>
      </w:r>
    </w:p>
    <w:p w:rsidR="00920E07" w:rsidRPr="00920E07" w:rsidRDefault="004A1F3A" w:rsidP="00920E07">
      <w:pPr>
        <w:rPr>
          <w:rFonts w:cs="Arial"/>
        </w:rPr>
      </w:pPr>
      <w:r w:rsidRPr="004A1F3A">
        <w:rPr>
          <w:rFonts w:cs="Arial"/>
        </w:rPr>
        <w:tab/>
        <w:t>“</w:t>
      </w:r>
      <w:r w:rsidR="00920E07" w:rsidRPr="00920E07">
        <w:rPr>
          <w:rFonts w:cs="Arial"/>
          <w:i/>
          <w:iCs/>
        </w:rPr>
        <w:t xml:space="preserve">In August 2017, we commissioned the Oxford Investigation Service to </w:t>
      </w:r>
      <w:r w:rsidR="00920E07">
        <w:rPr>
          <w:rFonts w:cs="Arial"/>
          <w:i/>
          <w:iCs/>
        </w:rPr>
        <w:tab/>
      </w:r>
      <w:r w:rsidR="00920E07" w:rsidRPr="00920E07">
        <w:rPr>
          <w:rFonts w:cs="Arial"/>
          <w:i/>
          <w:iCs/>
        </w:rPr>
        <w:t xml:space="preserve">undertake an empty homes review using their advanced data matching </w:t>
      </w:r>
      <w:r w:rsidR="00920E07">
        <w:rPr>
          <w:rFonts w:cs="Arial"/>
          <w:i/>
          <w:iCs/>
        </w:rPr>
        <w:tab/>
      </w:r>
      <w:r w:rsidR="00920E07" w:rsidRPr="00920E07">
        <w:rPr>
          <w:rFonts w:cs="Arial"/>
          <w:i/>
          <w:iCs/>
        </w:rPr>
        <w:t xml:space="preserve">technology. Through the provision of a fully managed service, their </w:t>
      </w:r>
      <w:r w:rsidR="00920E07">
        <w:rPr>
          <w:rFonts w:cs="Arial"/>
          <w:i/>
          <w:iCs/>
        </w:rPr>
        <w:tab/>
      </w:r>
      <w:r w:rsidR="00920E07" w:rsidRPr="00920E07">
        <w:rPr>
          <w:rFonts w:cs="Arial"/>
          <w:i/>
          <w:iCs/>
        </w:rPr>
        <w:t xml:space="preserve">efforts delivered additional New Homes Bonus subsidy valued at over </w:t>
      </w:r>
      <w:r w:rsidR="00920E07">
        <w:rPr>
          <w:rFonts w:cs="Arial"/>
          <w:i/>
          <w:iCs/>
        </w:rPr>
        <w:tab/>
      </w:r>
      <w:r w:rsidR="00920E07" w:rsidRPr="00920E07">
        <w:rPr>
          <w:rFonts w:cs="Arial"/>
          <w:i/>
          <w:iCs/>
        </w:rPr>
        <w:t xml:space="preserve">£600k over 4 years for Reading Borough Council, an exceptional </w:t>
      </w:r>
      <w:r w:rsidR="00920E07">
        <w:rPr>
          <w:rFonts w:cs="Arial"/>
          <w:i/>
          <w:iCs/>
        </w:rPr>
        <w:tab/>
      </w:r>
      <w:r w:rsidR="00920E07" w:rsidRPr="00920E07">
        <w:rPr>
          <w:rFonts w:cs="Arial"/>
          <w:i/>
          <w:iCs/>
        </w:rPr>
        <w:t xml:space="preserve">outcome representing a significant return on investment. This is the </w:t>
      </w:r>
      <w:r w:rsidR="00920E07">
        <w:rPr>
          <w:rFonts w:cs="Arial"/>
          <w:i/>
          <w:iCs/>
        </w:rPr>
        <w:tab/>
      </w:r>
      <w:r w:rsidR="00920E07" w:rsidRPr="00920E07">
        <w:rPr>
          <w:rFonts w:cs="Arial"/>
          <w:i/>
          <w:iCs/>
        </w:rPr>
        <w:t xml:space="preserve">first time we have worked together in this way and the outcomes </w:t>
      </w:r>
      <w:r w:rsidR="00920E07">
        <w:rPr>
          <w:rFonts w:cs="Arial"/>
          <w:i/>
          <w:iCs/>
        </w:rPr>
        <w:tab/>
      </w:r>
      <w:r w:rsidR="00920E07" w:rsidRPr="00920E07">
        <w:rPr>
          <w:rFonts w:cs="Arial"/>
          <w:i/>
          <w:iCs/>
        </w:rPr>
        <w:t>were far better than had been estimated”</w:t>
      </w:r>
    </w:p>
    <w:p w:rsidR="00920E07" w:rsidRPr="00920E07" w:rsidRDefault="00920E07" w:rsidP="00920E07">
      <w:pPr>
        <w:numPr>
          <w:ilvl w:val="0"/>
          <w:numId w:val="47"/>
        </w:numPr>
        <w:rPr>
          <w:rFonts w:cs="Arial"/>
        </w:rPr>
      </w:pPr>
      <w:r w:rsidRPr="00920E07">
        <w:rPr>
          <w:rFonts w:cs="Arial"/>
        </w:rPr>
        <w:t>Peter Lewis, Interim Section 151 Officer, Reading Borough Council</w:t>
      </w:r>
    </w:p>
    <w:p w:rsidR="004A1F3A" w:rsidRPr="004A1F3A" w:rsidRDefault="004A1F3A" w:rsidP="004A1F3A">
      <w:pPr>
        <w:rPr>
          <w:rFonts w:cs="Arial"/>
        </w:rPr>
      </w:pPr>
    </w:p>
    <w:p w:rsidR="004A1F3A" w:rsidRPr="004A1F3A" w:rsidRDefault="004A1F3A" w:rsidP="004A1F3A">
      <w:pPr>
        <w:rPr>
          <w:rFonts w:cs="Arial"/>
        </w:rPr>
      </w:pPr>
    </w:p>
    <w:p w:rsidR="001F5EB0" w:rsidRDefault="00920E07" w:rsidP="001F5EB0">
      <w:pPr>
        <w:pStyle w:val="ListParagraph"/>
        <w:numPr>
          <w:ilvl w:val="0"/>
          <w:numId w:val="38"/>
        </w:numPr>
        <w:rPr>
          <w:rFonts w:cs="Arial"/>
        </w:rPr>
      </w:pPr>
      <w:r w:rsidRPr="00920E07">
        <w:rPr>
          <w:rFonts w:cs="Arial"/>
        </w:rPr>
        <w:t>The team had been the sole provider of Counter Fraud services to Warwick Distr</w:t>
      </w:r>
      <w:r>
        <w:rPr>
          <w:rFonts w:cs="Arial"/>
        </w:rPr>
        <w:t>ict Council (WDC) since February 2017. After the 12 month contract had concluded, WDC again commissioned the Oxford Investigation Service under a new 3 year contract, commencing g April 2018, to provide the capability over a longer term arrangement. This was due to the high quality of service delivered to WDC and the high value outcomes achieved. This longer term arrangement assists with income assurance for Oxford City Council’s Medium Term Financial Plan.</w:t>
      </w:r>
    </w:p>
    <w:p w:rsidR="00920E07" w:rsidRPr="00920E07" w:rsidRDefault="00920E07" w:rsidP="00920E07">
      <w:pPr>
        <w:rPr>
          <w:rFonts w:cs="Arial"/>
        </w:rPr>
      </w:pPr>
    </w:p>
    <w:p w:rsidR="00FF064D" w:rsidRPr="00E71032" w:rsidRDefault="00920E07" w:rsidP="00E71032">
      <w:pPr>
        <w:pStyle w:val="ListParagraph"/>
        <w:numPr>
          <w:ilvl w:val="0"/>
          <w:numId w:val="38"/>
        </w:numPr>
        <w:rPr>
          <w:rFonts w:cs="Arial"/>
        </w:rPr>
      </w:pPr>
      <w:r>
        <w:rPr>
          <w:rFonts w:cs="Arial"/>
        </w:rPr>
        <w:t xml:space="preserve">After the success of the 2017 conference, an attending organisation made contact to discuss the possibility of provision of counter-fraud services. </w:t>
      </w:r>
      <w:r w:rsidR="00DE3160">
        <w:rPr>
          <w:rFonts w:cs="Arial"/>
        </w:rPr>
        <w:t>After a period of arranging the logistics and legal aspects, t</w:t>
      </w:r>
      <w:r w:rsidR="00FF064D" w:rsidRPr="00E71032">
        <w:rPr>
          <w:rFonts w:cs="Arial"/>
        </w:rPr>
        <w:t xml:space="preserve">he Oxford Investigation Service </w:t>
      </w:r>
      <w:proofErr w:type="gramStart"/>
      <w:r w:rsidR="00FF064D" w:rsidRPr="00E71032">
        <w:rPr>
          <w:rFonts w:cs="Arial"/>
        </w:rPr>
        <w:t>are</w:t>
      </w:r>
      <w:proofErr w:type="gramEnd"/>
      <w:r w:rsidR="00FF064D" w:rsidRPr="00E71032">
        <w:rPr>
          <w:rFonts w:cs="Arial"/>
        </w:rPr>
        <w:t xml:space="preserve"> </w:t>
      </w:r>
      <w:r w:rsidR="00DE3160">
        <w:rPr>
          <w:rFonts w:cs="Arial"/>
        </w:rPr>
        <w:t xml:space="preserve">confirmed to be the sole provider of Counter Fraud services to Cherwell and South Northants District Councils. The two-year contract is due to commence in July 2018 and is represents </w:t>
      </w:r>
      <w:r w:rsidR="00FF064D" w:rsidRPr="00E71032">
        <w:rPr>
          <w:rFonts w:cs="Arial"/>
        </w:rPr>
        <w:t xml:space="preserve">another significant </w:t>
      </w:r>
      <w:r w:rsidR="00DE3160">
        <w:rPr>
          <w:rFonts w:cs="Arial"/>
        </w:rPr>
        <w:t xml:space="preserve">trading </w:t>
      </w:r>
      <w:r w:rsidR="00FF064D" w:rsidRPr="00E71032">
        <w:rPr>
          <w:rFonts w:cs="Arial"/>
        </w:rPr>
        <w:t>achievement for the team.</w:t>
      </w:r>
    </w:p>
    <w:p w:rsidR="00D13DA3" w:rsidRDefault="00D13DA3" w:rsidP="0064013D">
      <w:pPr>
        <w:ind w:left="1440"/>
        <w:rPr>
          <w:rFonts w:cs="Arial"/>
        </w:rPr>
      </w:pPr>
    </w:p>
    <w:p w:rsidR="00302A89" w:rsidRDefault="005F7ECB" w:rsidP="003D7522">
      <w:pPr>
        <w:pStyle w:val="ListParagraph"/>
        <w:ind w:hanging="294"/>
        <w:rPr>
          <w:rFonts w:cs="Arial"/>
          <w:b/>
        </w:rPr>
      </w:pPr>
      <w:r w:rsidRPr="003D7522">
        <w:rPr>
          <w:rFonts w:cs="Arial"/>
          <w:b/>
        </w:rPr>
        <w:t xml:space="preserve">Legal </w:t>
      </w:r>
      <w:r w:rsidR="00F855DE">
        <w:rPr>
          <w:rFonts w:cs="Arial"/>
          <w:b/>
        </w:rPr>
        <w:t>Implications</w:t>
      </w:r>
    </w:p>
    <w:p w:rsidR="00492497" w:rsidRDefault="00492497" w:rsidP="00E71032">
      <w:pPr>
        <w:pStyle w:val="ListParagraph"/>
        <w:numPr>
          <w:ilvl w:val="0"/>
          <w:numId w:val="38"/>
        </w:numPr>
        <w:rPr>
          <w:rFonts w:cs="Arial"/>
        </w:rPr>
      </w:pPr>
      <w:r w:rsidRPr="00E35866">
        <w:rPr>
          <w:rFonts w:cs="Arial"/>
        </w:rPr>
        <w:t xml:space="preserve">The continuing work of the Investigation </w:t>
      </w:r>
      <w:r w:rsidR="0075252D" w:rsidRPr="00E35866">
        <w:rPr>
          <w:rFonts w:cs="Arial"/>
        </w:rPr>
        <w:t>Team</w:t>
      </w:r>
      <w:r w:rsidRPr="00E35866">
        <w:rPr>
          <w:rFonts w:cs="Arial"/>
        </w:rPr>
        <w:t xml:space="preserve">, coupled with the Council’s Avoiding Bribery, Fraud and Corruption, Whistle </w:t>
      </w:r>
      <w:r w:rsidR="0075252D" w:rsidRPr="00E35866">
        <w:rPr>
          <w:rFonts w:cs="Arial"/>
        </w:rPr>
        <w:t>B</w:t>
      </w:r>
      <w:r w:rsidRPr="00E35866">
        <w:rPr>
          <w:rFonts w:cs="Arial"/>
        </w:rPr>
        <w:t>lowing and Money Laundering policies and procedures</w:t>
      </w:r>
      <w:r w:rsidRPr="00E35866">
        <w:rPr>
          <w:rFonts w:cs="Arial"/>
          <w:b/>
        </w:rPr>
        <w:t xml:space="preserve"> </w:t>
      </w:r>
      <w:r w:rsidRPr="00E35866">
        <w:rPr>
          <w:rFonts w:cs="Arial"/>
        </w:rPr>
        <w:t>give assurance that the Authority is compliant with the Bribery Act 2010, the Money Laundering Regulations 2007 and the Proceeds of Crime Act 2002. Failure to adhere to the Policies would impact on the legal and reputational risk to the Council.</w:t>
      </w:r>
      <w:r w:rsidR="00785D6D">
        <w:rPr>
          <w:rFonts w:cs="Arial"/>
        </w:rPr>
        <w:t xml:space="preserve"> </w:t>
      </w:r>
    </w:p>
    <w:p w:rsidR="00B341A7" w:rsidRDefault="00B341A7" w:rsidP="00785D6D">
      <w:pPr>
        <w:rPr>
          <w:rFonts w:cs="Arial"/>
        </w:rPr>
      </w:pPr>
    </w:p>
    <w:p w:rsidR="00F52D21" w:rsidRPr="001B41B8" w:rsidRDefault="00785D6D" w:rsidP="001B41B8">
      <w:pPr>
        <w:pStyle w:val="ListParagraph"/>
        <w:numPr>
          <w:ilvl w:val="0"/>
          <w:numId w:val="38"/>
        </w:numPr>
        <w:rPr>
          <w:rFonts w:cs="Arial"/>
        </w:rPr>
      </w:pPr>
      <w:r w:rsidRPr="001B41B8">
        <w:rPr>
          <w:rFonts w:cs="Arial"/>
        </w:rPr>
        <w:t xml:space="preserve">All data sharing </w:t>
      </w:r>
      <w:r w:rsidR="0054789C" w:rsidRPr="001B41B8">
        <w:rPr>
          <w:rFonts w:cs="Arial"/>
        </w:rPr>
        <w:t xml:space="preserve">both internally and externally is covered by Data Sharing </w:t>
      </w:r>
    </w:p>
    <w:p w:rsidR="00785D6D" w:rsidRPr="00F52D21" w:rsidRDefault="0054789C" w:rsidP="00DE3160">
      <w:pPr>
        <w:ind w:left="426"/>
        <w:rPr>
          <w:rFonts w:cs="Arial"/>
        </w:rPr>
      </w:pPr>
      <w:r w:rsidRPr="00F52D21">
        <w:rPr>
          <w:rFonts w:cs="Arial"/>
        </w:rPr>
        <w:t>Protocols</w:t>
      </w:r>
      <w:r w:rsidR="00DE3160">
        <w:rPr>
          <w:rFonts w:cs="Arial"/>
        </w:rPr>
        <w:t xml:space="preserve"> and agreements,</w:t>
      </w:r>
      <w:r w:rsidRPr="00F52D21">
        <w:rPr>
          <w:rFonts w:cs="Arial"/>
        </w:rPr>
        <w:t xml:space="preserve"> and is conducted in the interests of prevention </w:t>
      </w:r>
      <w:r w:rsidR="00DE3160">
        <w:rPr>
          <w:rFonts w:cs="Arial"/>
        </w:rPr>
        <w:t xml:space="preserve">                       </w:t>
      </w:r>
      <w:r w:rsidRPr="00F52D21">
        <w:rPr>
          <w:rFonts w:cs="Arial"/>
        </w:rPr>
        <w:t>and detection of</w:t>
      </w:r>
      <w:r w:rsidR="00DE3160">
        <w:rPr>
          <w:rFonts w:cs="Arial"/>
        </w:rPr>
        <w:t xml:space="preserve"> </w:t>
      </w:r>
      <w:r w:rsidRPr="00F52D21">
        <w:rPr>
          <w:rFonts w:cs="Arial"/>
        </w:rPr>
        <w:t xml:space="preserve">fraud, crime and other financial irregularity, as per the provisions </w:t>
      </w:r>
      <w:r w:rsidR="00DE3160">
        <w:rPr>
          <w:rFonts w:cs="Arial"/>
        </w:rPr>
        <w:t>and exemptions of the European General Data Protection Regulation and the Data Protection Act 2018.</w:t>
      </w:r>
    </w:p>
    <w:p w:rsidR="00640FDA" w:rsidRDefault="00640FDA" w:rsidP="00640FDA">
      <w:pPr>
        <w:rPr>
          <w:rFonts w:cs="Arial"/>
        </w:rPr>
      </w:pPr>
    </w:p>
    <w:p w:rsidR="00F52D21" w:rsidRPr="001B41B8" w:rsidRDefault="00790EA7" w:rsidP="001B41B8">
      <w:pPr>
        <w:pStyle w:val="ListParagraph"/>
        <w:numPr>
          <w:ilvl w:val="0"/>
          <w:numId w:val="38"/>
        </w:numPr>
        <w:rPr>
          <w:rFonts w:cs="Arial"/>
        </w:rPr>
      </w:pPr>
      <w:r w:rsidRPr="001B41B8">
        <w:rPr>
          <w:rFonts w:cs="Arial"/>
        </w:rPr>
        <w:t>All contractual a</w:t>
      </w:r>
      <w:r w:rsidR="003203AD" w:rsidRPr="001B41B8">
        <w:rPr>
          <w:rFonts w:cs="Arial"/>
        </w:rPr>
        <w:t>greements devised for joint working with other</w:t>
      </w:r>
    </w:p>
    <w:p w:rsidR="00640FDA" w:rsidRPr="00F52D21" w:rsidRDefault="00F52D21" w:rsidP="00F52D21">
      <w:pPr>
        <w:ind w:firstLine="360"/>
        <w:rPr>
          <w:rFonts w:cs="Arial"/>
        </w:rPr>
      </w:pPr>
      <w:proofErr w:type="gramStart"/>
      <w:r>
        <w:rPr>
          <w:rFonts w:cs="Arial"/>
        </w:rPr>
        <w:t>o</w:t>
      </w:r>
      <w:r w:rsidR="003203AD" w:rsidRPr="00F52D21">
        <w:rPr>
          <w:rFonts w:cs="Arial"/>
        </w:rPr>
        <w:t>rganisations</w:t>
      </w:r>
      <w:proofErr w:type="gramEnd"/>
      <w:r w:rsidR="003203AD" w:rsidRPr="00F52D21">
        <w:rPr>
          <w:rFonts w:cs="Arial"/>
        </w:rPr>
        <w:t xml:space="preserve"> have been </w:t>
      </w:r>
      <w:r w:rsidR="00DE3160">
        <w:rPr>
          <w:rFonts w:cs="Arial"/>
        </w:rPr>
        <w:t xml:space="preserve">reviewed and </w:t>
      </w:r>
      <w:r w:rsidR="009919DA" w:rsidRPr="00F52D21">
        <w:rPr>
          <w:rFonts w:cs="Arial"/>
        </w:rPr>
        <w:t>approved by</w:t>
      </w:r>
      <w:r w:rsidR="00E3458C" w:rsidRPr="00F52D21">
        <w:rPr>
          <w:rFonts w:cs="Arial"/>
        </w:rPr>
        <w:t xml:space="preserve"> </w:t>
      </w:r>
      <w:r w:rsidR="003203AD" w:rsidRPr="00F52D21">
        <w:rPr>
          <w:rFonts w:cs="Arial"/>
        </w:rPr>
        <w:t>Legal Services.</w:t>
      </w:r>
    </w:p>
    <w:p w:rsidR="00694F2E" w:rsidRDefault="00694F2E">
      <w:pPr>
        <w:rPr>
          <w:rFonts w:cs="Arial"/>
          <w:i/>
        </w:rPr>
      </w:pPr>
    </w:p>
    <w:p w:rsidR="00710D4D" w:rsidRPr="007A3131" w:rsidRDefault="00115173" w:rsidP="00710D4D">
      <w:pPr>
        <w:rPr>
          <w:rFonts w:cs="Arial"/>
          <w:b/>
        </w:rPr>
      </w:pPr>
      <w:r>
        <w:rPr>
          <w:rFonts w:cs="Arial"/>
          <w:b/>
        </w:rPr>
        <w:t xml:space="preserve">      </w:t>
      </w:r>
      <w:r w:rsidR="00710D4D" w:rsidRPr="007A3131">
        <w:rPr>
          <w:rFonts w:cs="Arial"/>
          <w:b/>
        </w:rPr>
        <w:t>Financial Implications</w:t>
      </w:r>
    </w:p>
    <w:p w:rsidR="00710D4D" w:rsidRPr="007A3131" w:rsidRDefault="00710D4D" w:rsidP="00710D4D">
      <w:pPr>
        <w:pStyle w:val="ListParagraph"/>
        <w:numPr>
          <w:ilvl w:val="0"/>
          <w:numId w:val="38"/>
        </w:numPr>
        <w:rPr>
          <w:rFonts w:cs="Arial"/>
          <w:b/>
        </w:rPr>
      </w:pPr>
      <w:r w:rsidRPr="007A3131">
        <w:rPr>
          <w:rFonts w:cs="Arial"/>
        </w:rPr>
        <w:t xml:space="preserve">The net cost of the team for 2017-18 is as follows </w:t>
      </w:r>
    </w:p>
    <w:p w:rsidR="00710D4D" w:rsidRPr="007A3131" w:rsidRDefault="00710D4D" w:rsidP="00710D4D">
      <w:pPr>
        <w:pStyle w:val="ListParagraph"/>
        <w:ind w:left="360"/>
        <w:rPr>
          <w:rFonts w:cs="Arial"/>
          <w:b/>
        </w:rPr>
      </w:pPr>
    </w:p>
    <w:tbl>
      <w:tblPr>
        <w:tblStyle w:val="TableGrid"/>
        <w:tblW w:w="0" w:type="auto"/>
        <w:tblInd w:w="360" w:type="dxa"/>
        <w:tblLook w:val="04A0" w:firstRow="1" w:lastRow="0" w:firstColumn="1" w:lastColumn="0" w:noHBand="0" w:noVBand="1"/>
      </w:tblPr>
      <w:tblGrid>
        <w:gridCol w:w="2309"/>
        <w:gridCol w:w="2030"/>
        <w:gridCol w:w="2069"/>
        <w:gridCol w:w="1754"/>
      </w:tblGrid>
      <w:tr w:rsidR="00710D4D" w:rsidRPr="007A3131" w:rsidTr="0069767A">
        <w:tc>
          <w:tcPr>
            <w:tcW w:w="2309" w:type="dxa"/>
          </w:tcPr>
          <w:p w:rsidR="00710D4D" w:rsidRPr="007A3131" w:rsidRDefault="00710D4D" w:rsidP="0069767A">
            <w:pPr>
              <w:pStyle w:val="ListParagraph"/>
              <w:ind w:left="0"/>
              <w:rPr>
                <w:rFonts w:cs="Arial"/>
                <w:b/>
              </w:rPr>
            </w:pPr>
          </w:p>
        </w:tc>
        <w:tc>
          <w:tcPr>
            <w:tcW w:w="2030" w:type="dxa"/>
          </w:tcPr>
          <w:p w:rsidR="00710D4D" w:rsidRPr="007A3131" w:rsidRDefault="00710D4D" w:rsidP="0069767A">
            <w:pPr>
              <w:pStyle w:val="ListParagraph"/>
              <w:ind w:left="0"/>
              <w:jc w:val="center"/>
              <w:rPr>
                <w:rFonts w:cs="Arial"/>
                <w:b/>
              </w:rPr>
            </w:pPr>
            <w:r w:rsidRPr="007A3131">
              <w:rPr>
                <w:rFonts w:cs="Arial"/>
                <w:b/>
              </w:rPr>
              <w:t>Budget</w:t>
            </w:r>
          </w:p>
        </w:tc>
        <w:tc>
          <w:tcPr>
            <w:tcW w:w="2069" w:type="dxa"/>
          </w:tcPr>
          <w:p w:rsidR="00710D4D" w:rsidRPr="007A3131" w:rsidRDefault="00710D4D" w:rsidP="0069767A">
            <w:pPr>
              <w:pStyle w:val="ListParagraph"/>
              <w:ind w:left="0"/>
              <w:jc w:val="center"/>
              <w:rPr>
                <w:rFonts w:cs="Arial"/>
                <w:b/>
              </w:rPr>
            </w:pPr>
            <w:r w:rsidRPr="007A3131">
              <w:rPr>
                <w:rFonts w:cs="Arial"/>
                <w:b/>
              </w:rPr>
              <w:t>Actual</w:t>
            </w:r>
          </w:p>
        </w:tc>
        <w:tc>
          <w:tcPr>
            <w:tcW w:w="1754" w:type="dxa"/>
          </w:tcPr>
          <w:p w:rsidR="00710D4D" w:rsidRPr="007A3131" w:rsidRDefault="00710D4D" w:rsidP="0069767A">
            <w:pPr>
              <w:pStyle w:val="ListParagraph"/>
              <w:ind w:left="0"/>
              <w:jc w:val="center"/>
              <w:rPr>
                <w:rFonts w:cs="Arial"/>
                <w:b/>
              </w:rPr>
            </w:pPr>
            <w:r w:rsidRPr="007A3131">
              <w:rPr>
                <w:rFonts w:cs="Arial"/>
                <w:b/>
              </w:rPr>
              <w:t>Variance</w:t>
            </w:r>
          </w:p>
        </w:tc>
      </w:tr>
      <w:tr w:rsidR="00710D4D" w:rsidRPr="007A3131" w:rsidTr="0069767A">
        <w:tc>
          <w:tcPr>
            <w:tcW w:w="2309" w:type="dxa"/>
          </w:tcPr>
          <w:p w:rsidR="00710D4D" w:rsidRPr="007A3131" w:rsidRDefault="00710D4D" w:rsidP="0069767A">
            <w:pPr>
              <w:pStyle w:val="ListParagraph"/>
              <w:ind w:left="0"/>
              <w:rPr>
                <w:rFonts w:cs="Arial"/>
                <w:b/>
              </w:rPr>
            </w:pPr>
          </w:p>
        </w:tc>
        <w:tc>
          <w:tcPr>
            <w:tcW w:w="2030" w:type="dxa"/>
          </w:tcPr>
          <w:p w:rsidR="00710D4D" w:rsidRPr="007A3131" w:rsidRDefault="00710D4D" w:rsidP="0069767A">
            <w:pPr>
              <w:pStyle w:val="ListParagraph"/>
              <w:ind w:left="0"/>
              <w:jc w:val="center"/>
              <w:rPr>
                <w:rFonts w:cs="Arial"/>
                <w:b/>
              </w:rPr>
            </w:pPr>
            <w:r w:rsidRPr="007A3131">
              <w:rPr>
                <w:rFonts w:cs="Arial"/>
                <w:b/>
              </w:rPr>
              <w:t>2017-18</w:t>
            </w:r>
          </w:p>
        </w:tc>
        <w:tc>
          <w:tcPr>
            <w:tcW w:w="2069" w:type="dxa"/>
          </w:tcPr>
          <w:p w:rsidR="00710D4D" w:rsidRPr="007A3131" w:rsidRDefault="00710D4D" w:rsidP="0069767A">
            <w:pPr>
              <w:pStyle w:val="ListParagraph"/>
              <w:ind w:left="0"/>
              <w:jc w:val="center"/>
              <w:rPr>
                <w:rFonts w:cs="Arial"/>
                <w:b/>
              </w:rPr>
            </w:pPr>
            <w:r w:rsidRPr="007A3131">
              <w:rPr>
                <w:rFonts w:cs="Arial"/>
                <w:b/>
              </w:rPr>
              <w:t>2017-18</w:t>
            </w:r>
          </w:p>
        </w:tc>
        <w:tc>
          <w:tcPr>
            <w:tcW w:w="1754" w:type="dxa"/>
          </w:tcPr>
          <w:p w:rsidR="00710D4D" w:rsidRPr="007A3131" w:rsidRDefault="00710D4D" w:rsidP="0069767A">
            <w:pPr>
              <w:pStyle w:val="ListParagraph"/>
              <w:ind w:left="0"/>
              <w:jc w:val="center"/>
              <w:rPr>
                <w:rFonts w:cs="Arial"/>
                <w:b/>
              </w:rPr>
            </w:pPr>
            <w:r w:rsidRPr="007A3131">
              <w:rPr>
                <w:rFonts w:cs="Arial"/>
                <w:b/>
              </w:rPr>
              <w:t>2017-18</w:t>
            </w:r>
          </w:p>
        </w:tc>
      </w:tr>
      <w:tr w:rsidR="00710D4D" w:rsidRPr="007A3131" w:rsidTr="0069767A">
        <w:tc>
          <w:tcPr>
            <w:tcW w:w="2309" w:type="dxa"/>
          </w:tcPr>
          <w:p w:rsidR="00710D4D" w:rsidRPr="007A3131" w:rsidRDefault="00710D4D" w:rsidP="0069767A">
            <w:pPr>
              <w:pStyle w:val="ListParagraph"/>
              <w:ind w:left="0"/>
              <w:rPr>
                <w:rFonts w:cs="Arial"/>
                <w:b/>
              </w:rPr>
            </w:pPr>
          </w:p>
        </w:tc>
        <w:tc>
          <w:tcPr>
            <w:tcW w:w="2030" w:type="dxa"/>
          </w:tcPr>
          <w:p w:rsidR="00710D4D" w:rsidRPr="007A3131" w:rsidRDefault="00710D4D" w:rsidP="0069767A">
            <w:pPr>
              <w:pStyle w:val="ListParagraph"/>
              <w:ind w:left="0"/>
              <w:jc w:val="center"/>
              <w:rPr>
                <w:rFonts w:cs="Arial"/>
                <w:b/>
              </w:rPr>
            </w:pPr>
            <w:r w:rsidRPr="007A3131">
              <w:rPr>
                <w:rFonts w:cs="Arial"/>
                <w:b/>
              </w:rPr>
              <w:t>£</w:t>
            </w:r>
          </w:p>
        </w:tc>
        <w:tc>
          <w:tcPr>
            <w:tcW w:w="2069" w:type="dxa"/>
          </w:tcPr>
          <w:p w:rsidR="00710D4D" w:rsidRPr="007A3131" w:rsidRDefault="00710D4D" w:rsidP="0069767A">
            <w:pPr>
              <w:pStyle w:val="ListParagraph"/>
              <w:ind w:left="0"/>
              <w:jc w:val="center"/>
              <w:rPr>
                <w:rFonts w:cs="Arial"/>
                <w:b/>
              </w:rPr>
            </w:pPr>
            <w:r w:rsidRPr="007A3131">
              <w:rPr>
                <w:rFonts w:cs="Arial"/>
                <w:b/>
              </w:rPr>
              <w:t>£</w:t>
            </w:r>
          </w:p>
        </w:tc>
        <w:tc>
          <w:tcPr>
            <w:tcW w:w="1754" w:type="dxa"/>
          </w:tcPr>
          <w:p w:rsidR="00710D4D" w:rsidRPr="007A3131" w:rsidRDefault="00710D4D" w:rsidP="0069767A">
            <w:pPr>
              <w:pStyle w:val="ListParagraph"/>
              <w:ind w:left="0"/>
              <w:jc w:val="center"/>
              <w:rPr>
                <w:rFonts w:cs="Arial"/>
                <w:b/>
              </w:rPr>
            </w:pPr>
            <w:r w:rsidRPr="007A3131">
              <w:rPr>
                <w:rFonts w:cs="Arial"/>
                <w:b/>
              </w:rPr>
              <w:t>£</w:t>
            </w:r>
          </w:p>
        </w:tc>
      </w:tr>
      <w:tr w:rsidR="00710D4D" w:rsidRPr="007A3131" w:rsidTr="0069767A">
        <w:tc>
          <w:tcPr>
            <w:tcW w:w="2309" w:type="dxa"/>
          </w:tcPr>
          <w:p w:rsidR="00710D4D" w:rsidRPr="007A3131" w:rsidRDefault="00710D4D" w:rsidP="0069767A">
            <w:pPr>
              <w:pStyle w:val="ListParagraph"/>
              <w:ind w:left="0"/>
              <w:rPr>
                <w:rFonts w:cs="Arial"/>
                <w:b/>
              </w:rPr>
            </w:pPr>
            <w:r w:rsidRPr="007A3131">
              <w:rPr>
                <w:rFonts w:cs="Arial"/>
                <w:b/>
              </w:rPr>
              <w:t>Expenditure</w:t>
            </w:r>
          </w:p>
        </w:tc>
        <w:tc>
          <w:tcPr>
            <w:tcW w:w="2030" w:type="dxa"/>
          </w:tcPr>
          <w:p w:rsidR="00710D4D" w:rsidRPr="007A3131" w:rsidRDefault="00710D4D" w:rsidP="0069767A">
            <w:pPr>
              <w:pStyle w:val="ListParagraph"/>
              <w:ind w:left="0"/>
              <w:jc w:val="right"/>
              <w:rPr>
                <w:rFonts w:cs="Arial"/>
                <w:b/>
              </w:rPr>
            </w:pPr>
            <w:r w:rsidRPr="007A3131">
              <w:rPr>
                <w:rFonts w:cs="Arial"/>
                <w:b/>
              </w:rPr>
              <w:t>390,200</w:t>
            </w:r>
          </w:p>
        </w:tc>
        <w:tc>
          <w:tcPr>
            <w:tcW w:w="2069" w:type="dxa"/>
          </w:tcPr>
          <w:p w:rsidR="00710D4D" w:rsidRPr="007A3131" w:rsidRDefault="00710D4D" w:rsidP="0069767A">
            <w:pPr>
              <w:pStyle w:val="ListParagraph"/>
              <w:ind w:left="0"/>
              <w:jc w:val="right"/>
              <w:rPr>
                <w:rFonts w:cs="Arial"/>
                <w:b/>
              </w:rPr>
            </w:pPr>
            <w:r w:rsidRPr="007A3131">
              <w:rPr>
                <w:rFonts w:cs="Arial"/>
                <w:b/>
              </w:rPr>
              <w:t>451,163</w:t>
            </w:r>
          </w:p>
        </w:tc>
        <w:tc>
          <w:tcPr>
            <w:tcW w:w="1754" w:type="dxa"/>
          </w:tcPr>
          <w:p w:rsidR="00710D4D" w:rsidRPr="007A3131" w:rsidRDefault="00710D4D" w:rsidP="0069767A">
            <w:pPr>
              <w:pStyle w:val="ListParagraph"/>
              <w:ind w:left="0"/>
              <w:jc w:val="right"/>
              <w:rPr>
                <w:rFonts w:cs="Arial"/>
                <w:b/>
              </w:rPr>
            </w:pPr>
            <w:r w:rsidRPr="007A3131">
              <w:rPr>
                <w:rFonts w:cs="Arial"/>
                <w:b/>
              </w:rPr>
              <w:t>60,963</w:t>
            </w:r>
          </w:p>
        </w:tc>
      </w:tr>
      <w:tr w:rsidR="00710D4D" w:rsidRPr="007A3131" w:rsidTr="0069767A">
        <w:tc>
          <w:tcPr>
            <w:tcW w:w="2309" w:type="dxa"/>
          </w:tcPr>
          <w:p w:rsidR="00710D4D" w:rsidRPr="007A3131" w:rsidRDefault="00710D4D" w:rsidP="0069767A">
            <w:pPr>
              <w:pStyle w:val="ListParagraph"/>
              <w:ind w:left="0"/>
              <w:rPr>
                <w:rFonts w:cs="Arial"/>
                <w:b/>
              </w:rPr>
            </w:pPr>
            <w:r w:rsidRPr="007A3131">
              <w:rPr>
                <w:rFonts w:cs="Arial"/>
                <w:b/>
              </w:rPr>
              <w:t>Income</w:t>
            </w:r>
          </w:p>
        </w:tc>
        <w:tc>
          <w:tcPr>
            <w:tcW w:w="2030" w:type="dxa"/>
          </w:tcPr>
          <w:p w:rsidR="00710D4D" w:rsidRPr="007A3131" w:rsidRDefault="00710D4D" w:rsidP="0069767A">
            <w:pPr>
              <w:pStyle w:val="ListParagraph"/>
              <w:ind w:left="0"/>
              <w:jc w:val="right"/>
              <w:rPr>
                <w:rFonts w:cs="Arial"/>
                <w:b/>
              </w:rPr>
            </w:pPr>
          </w:p>
        </w:tc>
        <w:tc>
          <w:tcPr>
            <w:tcW w:w="2069" w:type="dxa"/>
          </w:tcPr>
          <w:p w:rsidR="00710D4D" w:rsidRPr="007A3131" w:rsidRDefault="00710D4D" w:rsidP="0069767A">
            <w:pPr>
              <w:pStyle w:val="ListParagraph"/>
              <w:ind w:left="0"/>
              <w:jc w:val="right"/>
              <w:rPr>
                <w:rFonts w:cs="Arial"/>
                <w:b/>
              </w:rPr>
            </w:pPr>
          </w:p>
        </w:tc>
        <w:tc>
          <w:tcPr>
            <w:tcW w:w="1754" w:type="dxa"/>
          </w:tcPr>
          <w:p w:rsidR="00710D4D" w:rsidRPr="007A3131" w:rsidRDefault="00710D4D" w:rsidP="0069767A">
            <w:pPr>
              <w:pStyle w:val="ListParagraph"/>
              <w:ind w:left="0"/>
              <w:jc w:val="right"/>
              <w:rPr>
                <w:rFonts w:cs="Arial"/>
                <w:b/>
              </w:rPr>
            </w:pPr>
          </w:p>
        </w:tc>
      </w:tr>
      <w:tr w:rsidR="00710D4D" w:rsidRPr="007A3131" w:rsidTr="0069767A">
        <w:tc>
          <w:tcPr>
            <w:tcW w:w="2309" w:type="dxa"/>
          </w:tcPr>
          <w:p w:rsidR="00710D4D" w:rsidRPr="007A3131" w:rsidRDefault="00710D4D" w:rsidP="0069767A">
            <w:pPr>
              <w:pStyle w:val="ListParagraph"/>
              <w:ind w:left="0"/>
              <w:rPr>
                <w:rFonts w:cs="Arial"/>
              </w:rPr>
            </w:pPr>
            <w:r w:rsidRPr="007A3131">
              <w:rPr>
                <w:rFonts w:cs="Arial"/>
              </w:rPr>
              <w:t xml:space="preserve">   HRA Recharge</w:t>
            </w:r>
          </w:p>
        </w:tc>
        <w:tc>
          <w:tcPr>
            <w:tcW w:w="2030" w:type="dxa"/>
          </w:tcPr>
          <w:p w:rsidR="00710D4D" w:rsidRPr="007A3131" w:rsidRDefault="00710D4D" w:rsidP="0069767A">
            <w:pPr>
              <w:pStyle w:val="ListParagraph"/>
              <w:ind w:left="0"/>
              <w:jc w:val="right"/>
              <w:rPr>
                <w:rFonts w:cs="Arial"/>
                <w:b/>
              </w:rPr>
            </w:pPr>
            <w:r w:rsidRPr="007A3131">
              <w:rPr>
                <w:rFonts w:cs="Arial"/>
                <w:b/>
              </w:rPr>
              <w:t>(86,490)</w:t>
            </w:r>
          </w:p>
        </w:tc>
        <w:tc>
          <w:tcPr>
            <w:tcW w:w="2069" w:type="dxa"/>
          </w:tcPr>
          <w:p w:rsidR="00710D4D" w:rsidRPr="007A3131" w:rsidRDefault="00710D4D" w:rsidP="0069767A">
            <w:pPr>
              <w:pStyle w:val="ListParagraph"/>
              <w:ind w:left="0"/>
              <w:jc w:val="right"/>
              <w:rPr>
                <w:rFonts w:cs="Arial"/>
                <w:b/>
              </w:rPr>
            </w:pPr>
            <w:r w:rsidRPr="007A3131">
              <w:rPr>
                <w:rFonts w:cs="Arial"/>
                <w:b/>
              </w:rPr>
              <w:t>(97,286)</w:t>
            </w:r>
          </w:p>
        </w:tc>
        <w:tc>
          <w:tcPr>
            <w:tcW w:w="1754" w:type="dxa"/>
          </w:tcPr>
          <w:p w:rsidR="00710D4D" w:rsidRPr="007A3131" w:rsidRDefault="00710D4D" w:rsidP="0069767A">
            <w:pPr>
              <w:pStyle w:val="ListParagraph"/>
              <w:ind w:left="0"/>
              <w:jc w:val="right"/>
              <w:rPr>
                <w:rFonts w:cs="Arial"/>
                <w:b/>
              </w:rPr>
            </w:pPr>
            <w:r w:rsidRPr="007A3131">
              <w:rPr>
                <w:rFonts w:cs="Arial"/>
                <w:b/>
              </w:rPr>
              <w:t>(10,796)</w:t>
            </w:r>
          </w:p>
        </w:tc>
      </w:tr>
      <w:tr w:rsidR="00710D4D" w:rsidRPr="007A3131" w:rsidTr="0069767A">
        <w:tc>
          <w:tcPr>
            <w:tcW w:w="2309" w:type="dxa"/>
          </w:tcPr>
          <w:p w:rsidR="00710D4D" w:rsidRPr="007A3131" w:rsidRDefault="00710D4D" w:rsidP="0069767A">
            <w:pPr>
              <w:pStyle w:val="ListParagraph"/>
              <w:ind w:left="0"/>
              <w:rPr>
                <w:rFonts w:cs="Arial"/>
              </w:rPr>
            </w:pPr>
            <w:r w:rsidRPr="007A3131">
              <w:rPr>
                <w:rFonts w:cs="Arial"/>
              </w:rPr>
              <w:t xml:space="preserve">   External Income </w:t>
            </w:r>
          </w:p>
        </w:tc>
        <w:tc>
          <w:tcPr>
            <w:tcW w:w="2030" w:type="dxa"/>
          </w:tcPr>
          <w:p w:rsidR="00710D4D" w:rsidRPr="007A3131" w:rsidRDefault="00710D4D" w:rsidP="0069767A">
            <w:pPr>
              <w:pStyle w:val="ListParagraph"/>
              <w:ind w:left="0"/>
              <w:jc w:val="right"/>
              <w:rPr>
                <w:rFonts w:cs="Arial"/>
                <w:b/>
              </w:rPr>
            </w:pPr>
            <w:r w:rsidRPr="007A3131">
              <w:rPr>
                <w:rFonts w:cs="Arial"/>
                <w:b/>
              </w:rPr>
              <w:t>(38,300)</w:t>
            </w:r>
          </w:p>
        </w:tc>
        <w:tc>
          <w:tcPr>
            <w:tcW w:w="2069" w:type="dxa"/>
          </w:tcPr>
          <w:p w:rsidR="00710D4D" w:rsidRPr="007A3131" w:rsidRDefault="00710D4D" w:rsidP="0069767A">
            <w:pPr>
              <w:pStyle w:val="ListParagraph"/>
              <w:ind w:left="0"/>
              <w:jc w:val="right"/>
              <w:rPr>
                <w:rFonts w:cs="Arial"/>
                <w:b/>
              </w:rPr>
            </w:pPr>
            <w:r w:rsidRPr="007A3131">
              <w:rPr>
                <w:rFonts w:cs="Arial"/>
                <w:b/>
              </w:rPr>
              <w:t>(174,619)</w:t>
            </w:r>
          </w:p>
        </w:tc>
        <w:tc>
          <w:tcPr>
            <w:tcW w:w="1754" w:type="dxa"/>
          </w:tcPr>
          <w:p w:rsidR="00710D4D" w:rsidRPr="007A3131" w:rsidRDefault="00710D4D" w:rsidP="0069767A">
            <w:pPr>
              <w:pStyle w:val="ListParagraph"/>
              <w:ind w:left="0"/>
              <w:jc w:val="right"/>
              <w:rPr>
                <w:rFonts w:cs="Arial"/>
                <w:b/>
              </w:rPr>
            </w:pPr>
            <w:r w:rsidRPr="007A3131">
              <w:rPr>
                <w:rFonts w:cs="Arial"/>
                <w:b/>
              </w:rPr>
              <w:t>(136,319)</w:t>
            </w:r>
          </w:p>
        </w:tc>
      </w:tr>
      <w:tr w:rsidR="00710D4D" w:rsidRPr="007A3131" w:rsidTr="0069767A">
        <w:tc>
          <w:tcPr>
            <w:tcW w:w="2309" w:type="dxa"/>
          </w:tcPr>
          <w:p w:rsidR="00710D4D" w:rsidRPr="007A3131" w:rsidRDefault="00710D4D" w:rsidP="0069767A">
            <w:pPr>
              <w:pStyle w:val="ListParagraph"/>
              <w:ind w:left="0"/>
              <w:rPr>
                <w:rFonts w:cs="Arial"/>
                <w:b/>
              </w:rPr>
            </w:pPr>
          </w:p>
        </w:tc>
        <w:tc>
          <w:tcPr>
            <w:tcW w:w="2030" w:type="dxa"/>
          </w:tcPr>
          <w:p w:rsidR="00710D4D" w:rsidRPr="007A3131" w:rsidRDefault="00710D4D" w:rsidP="0069767A">
            <w:pPr>
              <w:pStyle w:val="ListParagraph"/>
              <w:ind w:left="0"/>
              <w:jc w:val="right"/>
              <w:rPr>
                <w:rFonts w:cs="Arial"/>
                <w:b/>
              </w:rPr>
            </w:pPr>
          </w:p>
        </w:tc>
        <w:tc>
          <w:tcPr>
            <w:tcW w:w="2069" w:type="dxa"/>
          </w:tcPr>
          <w:p w:rsidR="00710D4D" w:rsidRPr="007A3131" w:rsidRDefault="00710D4D" w:rsidP="0069767A">
            <w:pPr>
              <w:pStyle w:val="ListParagraph"/>
              <w:ind w:left="0"/>
              <w:jc w:val="right"/>
              <w:rPr>
                <w:rFonts w:cs="Arial"/>
                <w:b/>
              </w:rPr>
            </w:pPr>
          </w:p>
        </w:tc>
        <w:tc>
          <w:tcPr>
            <w:tcW w:w="1754" w:type="dxa"/>
          </w:tcPr>
          <w:p w:rsidR="00710D4D" w:rsidRPr="007A3131" w:rsidRDefault="00710D4D" w:rsidP="0069767A">
            <w:pPr>
              <w:pStyle w:val="ListParagraph"/>
              <w:ind w:left="0"/>
              <w:jc w:val="right"/>
              <w:rPr>
                <w:rFonts w:cs="Arial"/>
                <w:b/>
              </w:rPr>
            </w:pPr>
          </w:p>
        </w:tc>
      </w:tr>
      <w:tr w:rsidR="00710D4D" w:rsidRPr="007A3131" w:rsidTr="0069767A">
        <w:tc>
          <w:tcPr>
            <w:tcW w:w="2309" w:type="dxa"/>
          </w:tcPr>
          <w:p w:rsidR="00710D4D" w:rsidRPr="007A3131" w:rsidRDefault="00710D4D" w:rsidP="0069767A">
            <w:pPr>
              <w:pStyle w:val="ListParagraph"/>
              <w:ind w:left="0"/>
              <w:rPr>
                <w:rFonts w:cs="Arial"/>
                <w:b/>
              </w:rPr>
            </w:pPr>
            <w:r w:rsidRPr="007A3131">
              <w:rPr>
                <w:rFonts w:cs="Arial"/>
                <w:b/>
              </w:rPr>
              <w:t>Net Expenditure</w:t>
            </w:r>
          </w:p>
        </w:tc>
        <w:tc>
          <w:tcPr>
            <w:tcW w:w="2030" w:type="dxa"/>
          </w:tcPr>
          <w:p w:rsidR="00710D4D" w:rsidRPr="007A3131" w:rsidRDefault="00710D4D" w:rsidP="0069767A">
            <w:pPr>
              <w:pStyle w:val="ListParagraph"/>
              <w:ind w:left="0"/>
              <w:jc w:val="right"/>
              <w:rPr>
                <w:rFonts w:cs="Arial"/>
                <w:b/>
              </w:rPr>
            </w:pPr>
            <w:r w:rsidRPr="007A3131">
              <w:rPr>
                <w:rFonts w:cs="Arial"/>
                <w:b/>
              </w:rPr>
              <w:t>265,410</w:t>
            </w:r>
          </w:p>
        </w:tc>
        <w:tc>
          <w:tcPr>
            <w:tcW w:w="2069" w:type="dxa"/>
          </w:tcPr>
          <w:p w:rsidR="00710D4D" w:rsidRPr="007A3131" w:rsidRDefault="00710D4D" w:rsidP="0069767A">
            <w:pPr>
              <w:pStyle w:val="ListParagraph"/>
              <w:ind w:left="0"/>
              <w:jc w:val="right"/>
              <w:rPr>
                <w:rFonts w:cs="Arial"/>
                <w:b/>
              </w:rPr>
            </w:pPr>
            <w:r w:rsidRPr="007A3131">
              <w:rPr>
                <w:rFonts w:cs="Arial"/>
                <w:b/>
              </w:rPr>
              <w:t>179,258</w:t>
            </w:r>
          </w:p>
        </w:tc>
        <w:tc>
          <w:tcPr>
            <w:tcW w:w="1754" w:type="dxa"/>
          </w:tcPr>
          <w:p w:rsidR="00710D4D" w:rsidRPr="007A3131" w:rsidRDefault="00710D4D" w:rsidP="0069767A">
            <w:pPr>
              <w:pStyle w:val="ListParagraph"/>
              <w:ind w:left="0"/>
              <w:jc w:val="right"/>
              <w:rPr>
                <w:rFonts w:cs="Arial"/>
                <w:b/>
              </w:rPr>
            </w:pPr>
            <w:r w:rsidRPr="007A3131">
              <w:rPr>
                <w:rFonts w:cs="Arial"/>
                <w:b/>
              </w:rPr>
              <w:t>(86,152)</w:t>
            </w:r>
            <w:r>
              <w:rPr>
                <w:rFonts w:cs="Arial"/>
                <w:b/>
              </w:rPr>
              <w:t>*</w:t>
            </w:r>
          </w:p>
        </w:tc>
      </w:tr>
      <w:tr w:rsidR="00710D4D" w:rsidRPr="007A3131" w:rsidTr="0069767A">
        <w:tc>
          <w:tcPr>
            <w:tcW w:w="2309" w:type="dxa"/>
          </w:tcPr>
          <w:p w:rsidR="00710D4D" w:rsidRPr="007A3131" w:rsidRDefault="00710D4D" w:rsidP="0069767A">
            <w:pPr>
              <w:pStyle w:val="ListParagraph"/>
              <w:ind w:left="0"/>
              <w:rPr>
                <w:rFonts w:cs="Arial"/>
                <w:b/>
              </w:rPr>
            </w:pPr>
          </w:p>
        </w:tc>
        <w:tc>
          <w:tcPr>
            <w:tcW w:w="2030" w:type="dxa"/>
          </w:tcPr>
          <w:p w:rsidR="00710D4D" w:rsidRPr="007A3131" w:rsidRDefault="00710D4D" w:rsidP="0069767A">
            <w:pPr>
              <w:pStyle w:val="ListParagraph"/>
              <w:ind w:left="0"/>
              <w:jc w:val="right"/>
              <w:rPr>
                <w:rFonts w:cs="Arial"/>
                <w:b/>
              </w:rPr>
            </w:pPr>
          </w:p>
        </w:tc>
        <w:tc>
          <w:tcPr>
            <w:tcW w:w="2069" w:type="dxa"/>
          </w:tcPr>
          <w:p w:rsidR="00710D4D" w:rsidRPr="007A3131" w:rsidRDefault="00710D4D" w:rsidP="0069767A">
            <w:pPr>
              <w:pStyle w:val="ListParagraph"/>
              <w:ind w:left="0"/>
              <w:jc w:val="right"/>
              <w:rPr>
                <w:rFonts w:cs="Arial"/>
                <w:b/>
              </w:rPr>
            </w:pPr>
          </w:p>
        </w:tc>
        <w:tc>
          <w:tcPr>
            <w:tcW w:w="1754" w:type="dxa"/>
          </w:tcPr>
          <w:p w:rsidR="00710D4D" w:rsidRPr="007A3131" w:rsidRDefault="00710D4D" w:rsidP="0069767A">
            <w:pPr>
              <w:pStyle w:val="ListParagraph"/>
              <w:ind w:left="0"/>
              <w:jc w:val="right"/>
              <w:rPr>
                <w:rFonts w:cs="Arial"/>
                <w:b/>
              </w:rPr>
            </w:pPr>
          </w:p>
        </w:tc>
      </w:tr>
      <w:tr w:rsidR="00710D4D" w:rsidRPr="007A3131" w:rsidTr="0069767A">
        <w:tc>
          <w:tcPr>
            <w:tcW w:w="2309" w:type="dxa"/>
          </w:tcPr>
          <w:p w:rsidR="00710D4D" w:rsidRPr="007A3131" w:rsidRDefault="00710D4D" w:rsidP="0069767A">
            <w:pPr>
              <w:pStyle w:val="ListParagraph"/>
              <w:ind w:left="0"/>
              <w:rPr>
                <w:rFonts w:cs="Arial"/>
                <w:b/>
              </w:rPr>
            </w:pPr>
            <w:r w:rsidRPr="007A3131">
              <w:rPr>
                <w:rFonts w:cs="Arial"/>
                <w:b/>
              </w:rPr>
              <w:t>FTE Staff</w:t>
            </w:r>
          </w:p>
        </w:tc>
        <w:tc>
          <w:tcPr>
            <w:tcW w:w="2030" w:type="dxa"/>
          </w:tcPr>
          <w:p w:rsidR="00710D4D" w:rsidRPr="007A3131" w:rsidRDefault="00710D4D" w:rsidP="0069767A">
            <w:pPr>
              <w:pStyle w:val="ListParagraph"/>
              <w:ind w:left="0"/>
              <w:jc w:val="right"/>
              <w:rPr>
                <w:rFonts w:cs="Arial"/>
                <w:b/>
              </w:rPr>
            </w:pPr>
            <w:r w:rsidRPr="007A3131">
              <w:rPr>
                <w:rFonts w:cs="Arial"/>
                <w:b/>
              </w:rPr>
              <w:t>10.0</w:t>
            </w:r>
          </w:p>
        </w:tc>
        <w:tc>
          <w:tcPr>
            <w:tcW w:w="2069" w:type="dxa"/>
          </w:tcPr>
          <w:p w:rsidR="00710D4D" w:rsidRPr="007A3131" w:rsidRDefault="00710D4D" w:rsidP="0069767A">
            <w:pPr>
              <w:pStyle w:val="ListParagraph"/>
              <w:ind w:left="0"/>
              <w:jc w:val="right"/>
              <w:rPr>
                <w:rFonts w:cs="Arial"/>
                <w:b/>
              </w:rPr>
            </w:pPr>
            <w:r w:rsidRPr="007A3131">
              <w:rPr>
                <w:rFonts w:cs="Arial"/>
                <w:b/>
              </w:rPr>
              <w:t>11.0</w:t>
            </w:r>
          </w:p>
        </w:tc>
        <w:tc>
          <w:tcPr>
            <w:tcW w:w="1754" w:type="dxa"/>
          </w:tcPr>
          <w:p w:rsidR="00710D4D" w:rsidRPr="007A3131" w:rsidRDefault="00710D4D" w:rsidP="0069767A">
            <w:pPr>
              <w:pStyle w:val="ListParagraph"/>
              <w:ind w:left="0"/>
              <w:jc w:val="right"/>
              <w:rPr>
                <w:rFonts w:cs="Arial"/>
                <w:b/>
              </w:rPr>
            </w:pPr>
            <w:r w:rsidRPr="007A3131">
              <w:rPr>
                <w:rFonts w:cs="Arial"/>
                <w:b/>
              </w:rPr>
              <w:t>1.0</w:t>
            </w:r>
          </w:p>
        </w:tc>
      </w:tr>
    </w:tbl>
    <w:p w:rsidR="00710D4D" w:rsidRPr="007A3131" w:rsidRDefault="00710D4D" w:rsidP="00710D4D">
      <w:pPr>
        <w:pStyle w:val="ListParagraph"/>
        <w:ind w:left="360"/>
        <w:rPr>
          <w:rFonts w:cs="Arial"/>
        </w:rPr>
      </w:pPr>
    </w:p>
    <w:p w:rsidR="00710D4D" w:rsidRPr="007B4B51" w:rsidRDefault="00710D4D" w:rsidP="00710D4D">
      <w:pPr>
        <w:pStyle w:val="ListParagraph"/>
        <w:numPr>
          <w:ilvl w:val="0"/>
          <w:numId w:val="38"/>
        </w:numPr>
        <w:rPr>
          <w:rFonts w:cs="Arial"/>
        </w:rPr>
      </w:pPr>
      <w:r w:rsidRPr="007B4B51">
        <w:rPr>
          <w:rFonts w:cs="Arial"/>
        </w:rPr>
        <w:t xml:space="preserve">The net cost of the team to the council in 2017-18 was £179,258 net of £174,619 Trading income from other organisations. In return the Council benefited from £605k of cashable savings and £2.9 million of </w:t>
      </w:r>
      <w:proofErr w:type="spellStart"/>
      <w:r w:rsidRPr="007B4B51">
        <w:rPr>
          <w:rFonts w:cs="Arial"/>
        </w:rPr>
        <w:t>non cashable</w:t>
      </w:r>
      <w:proofErr w:type="spellEnd"/>
      <w:r w:rsidRPr="007B4B51">
        <w:rPr>
          <w:rFonts w:cs="Arial"/>
        </w:rPr>
        <w:t xml:space="preserve"> savings. Staffing was 11 FTE which provides sufficient resources to provide all contract work including work in Cherwell and South </w:t>
      </w:r>
      <w:proofErr w:type="spellStart"/>
      <w:r w:rsidRPr="007B4B51">
        <w:rPr>
          <w:rFonts w:cs="Arial"/>
        </w:rPr>
        <w:t>Northhants</w:t>
      </w:r>
      <w:proofErr w:type="spellEnd"/>
      <w:r w:rsidRPr="007B4B51">
        <w:rPr>
          <w:rFonts w:cs="Arial"/>
        </w:rPr>
        <w:t xml:space="preserve"> which is soon to commence.</w:t>
      </w:r>
    </w:p>
    <w:p w:rsidR="00710D4D" w:rsidRPr="00701CEC" w:rsidRDefault="00710D4D" w:rsidP="00710D4D">
      <w:pPr>
        <w:pStyle w:val="ListParagraph"/>
        <w:ind w:left="360"/>
        <w:rPr>
          <w:rFonts w:cs="Arial"/>
          <w:b/>
          <w:highlight w:val="yellow"/>
        </w:rPr>
      </w:pPr>
    </w:p>
    <w:p w:rsidR="00710D4D" w:rsidRDefault="00710D4D" w:rsidP="004D2AC1">
      <w:pPr>
        <w:ind w:firstLine="360"/>
        <w:rPr>
          <w:rFonts w:cs="Arial"/>
          <w:b/>
        </w:rPr>
      </w:pPr>
      <w:r>
        <w:rPr>
          <w:rFonts w:cs="Arial"/>
          <w:b/>
        </w:rPr>
        <w:t>Environmental Implications</w:t>
      </w:r>
    </w:p>
    <w:p w:rsidR="00710D4D" w:rsidRDefault="00710D4D" w:rsidP="00710D4D">
      <w:pPr>
        <w:pStyle w:val="ListParagraph"/>
        <w:numPr>
          <w:ilvl w:val="0"/>
          <w:numId w:val="38"/>
        </w:numPr>
        <w:rPr>
          <w:rFonts w:cs="Arial"/>
        </w:rPr>
      </w:pPr>
      <w:r w:rsidRPr="00B65FC8">
        <w:rPr>
          <w:rFonts w:cs="Arial"/>
        </w:rPr>
        <w:t xml:space="preserve">The majority of visits undertaken by staff </w:t>
      </w:r>
      <w:r>
        <w:rPr>
          <w:rFonts w:cs="Arial"/>
        </w:rPr>
        <w:t>i</w:t>
      </w:r>
      <w:r w:rsidRPr="00B65FC8">
        <w:rPr>
          <w:rFonts w:cs="Arial"/>
        </w:rPr>
        <w:t xml:space="preserve">n the </w:t>
      </w:r>
      <w:r>
        <w:rPr>
          <w:rFonts w:cs="Arial"/>
        </w:rPr>
        <w:t>T</w:t>
      </w:r>
      <w:r w:rsidRPr="00B65FC8">
        <w:rPr>
          <w:rFonts w:cs="Arial"/>
        </w:rPr>
        <w:t xml:space="preserve">eam are done using the Council pool vehicles. All staff </w:t>
      </w:r>
      <w:proofErr w:type="gramStart"/>
      <w:r w:rsidRPr="00B65FC8">
        <w:rPr>
          <w:rFonts w:cs="Arial"/>
        </w:rPr>
        <w:t>are</w:t>
      </w:r>
      <w:proofErr w:type="gramEnd"/>
      <w:r w:rsidRPr="00B65FC8">
        <w:rPr>
          <w:rFonts w:cs="Arial"/>
        </w:rPr>
        <w:t xml:space="preserve"> </w:t>
      </w:r>
      <w:r>
        <w:rPr>
          <w:rFonts w:cs="Arial"/>
        </w:rPr>
        <w:t>conscious of the environmental implications of service delivery and will always seek the lowest impact route where possible.</w:t>
      </w:r>
    </w:p>
    <w:p w:rsidR="00375FCC" w:rsidRPr="00701CEC" w:rsidRDefault="00375FCC" w:rsidP="00710D4D">
      <w:pPr>
        <w:rPr>
          <w:rFonts w:cs="Arial"/>
          <w:b/>
          <w:highlight w:val="yellow"/>
        </w:rPr>
      </w:pPr>
    </w:p>
    <w:p w:rsidR="00F645D3" w:rsidRDefault="00F645D3" w:rsidP="004D2AC1">
      <w:pPr>
        <w:rPr>
          <w:rFonts w:cs="Arial"/>
          <w:b/>
        </w:rPr>
      </w:pPr>
      <w:bookmarkStart w:id="0" w:name="_GoBack"/>
      <w:bookmarkEnd w:id="0"/>
    </w:p>
    <w:p w:rsidR="007F2EA3" w:rsidRDefault="007F2EA3" w:rsidP="004D2AC1">
      <w:pPr>
        <w:ind w:firstLine="360"/>
        <w:rPr>
          <w:rFonts w:cs="Arial"/>
          <w:b/>
        </w:rPr>
      </w:pPr>
      <w:r>
        <w:rPr>
          <w:rFonts w:cs="Arial"/>
          <w:b/>
        </w:rPr>
        <w:t>Risk</w:t>
      </w:r>
      <w:r w:rsidR="00F855DE">
        <w:rPr>
          <w:rFonts w:cs="Arial"/>
          <w:b/>
        </w:rPr>
        <w:t xml:space="preserve"> Implications</w:t>
      </w:r>
    </w:p>
    <w:p w:rsidR="007F2EA3" w:rsidRPr="00B65FC8" w:rsidRDefault="007F2EA3" w:rsidP="00E71032">
      <w:pPr>
        <w:pStyle w:val="ListParagraph"/>
        <w:numPr>
          <w:ilvl w:val="0"/>
          <w:numId w:val="38"/>
        </w:numPr>
        <w:rPr>
          <w:rFonts w:cs="Arial"/>
        </w:rPr>
      </w:pPr>
      <w:r w:rsidRPr="00B65FC8">
        <w:rPr>
          <w:rFonts w:cs="Arial"/>
        </w:rPr>
        <w:t>The risk of fraud both from within the Council</w:t>
      </w:r>
      <w:r>
        <w:rPr>
          <w:rFonts w:cs="Arial"/>
        </w:rPr>
        <w:t>’</w:t>
      </w:r>
      <w:r w:rsidRPr="00B65FC8">
        <w:rPr>
          <w:rFonts w:cs="Arial"/>
        </w:rPr>
        <w:t>s business and impacting on the Council</w:t>
      </w:r>
      <w:r>
        <w:rPr>
          <w:rFonts w:cs="Arial"/>
        </w:rPr>
        <w:t>’</w:t>
      </w:r>
      <w:r w:rsidRPr="00B65FC8">
        <w:rPr>
          <w:rFonts w:cs="Arial"/>
        </w:rPr>
        <w:t>s business may be significant. The maintaining of a fraud investigation resource</w:t>
      </w:r>
      <w:r w:rsidR="00D96083">
        <w:rPr>
          <w:rFonts w:cs="Arial"/>
        </w:rPr>
        <w:t xml:space="preserve"> is essential in acting a</w:t>
      </w:r>
      <w:r w:rsidRPr="00B65FC8">
        <w:rPr>
          <w:rFonts w:cs="Arial"/>
        </w:rPr>
        <w:t xml:space="preserve">s a deterrent to fraudulent activity and </w:t>
      </w:r>
      <w:r w:rsidR="00D96083">
        <w:rPr>
          <w:rFonts w:cs="Arial"/>
        </w:rPr>
        <w:t xml:space="preserve">safeguarding the organisation. The income generated and losses prevented from team activity </w:t>
      </w:r>
      <w:r w:rsidRPr="00B65FC8">
        <w:rPr>
          <w:rFonts w:cs="Arial"/>
        </w:rPr>
        <w:t>more than offset the cost of running the Investigating Team</w:t>
      </w:r>
      <w:r w:rsidR="00D96083">
        <w:rPr>
          <w:rFonts w:cs="Arial"/>
        </w:rPr>
        <w:t>.</w:t>
      </w:r>
    </w:p>
    <w:p w:rsidR="00E35866" w:rsidRPr="00E35866" w:rsidRDefault="00E35866" w:rsidP="00E35866">
      <w:pPr>
        <w:rPr>
          <w:rFonts w:cs="Arial"/>
        </w:rPr>
      </w:pPr>
    </w:p>
    <w:p w:rsidR="00713675" w:rsidRDefault="00713675" w:rsidP="00713675">
      <w:pPr>
        <w:rPr>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13675">
        <w:tc>
          <w:tcPr>
            <w:tcW w:w="8522" w:type="dxa"/>
          </w:tcPr>
          <w:p w:rsidR="00713675" w:rsidRDefault="00713675" w:rsidP="00855C66">
            <w:pPr>
              <w:tabs>
                <w:tab w:val="left" w:pos="720"/>
                <w:tab w:val="left" w:pos="1440"/>
                <w:tab w:val="left" w:pos="2160"/>
                <w:tab w:val="left" w:pos="2880"/>
              </w:tabs>
            </w:pPr>
            <w:r>
              <w:rPr>
                <w:b/>
                <w:bCs/>
              </w:rPr>
              <w:t>Name and contact details of author:-</w:t>
            </w:r>
          </w:p>
        </w:tc>
      </w:tr>
      <w:tr w:rsidR="00713675">
        <w:tc>
          <w:tcPr>
            <w:tcW w:w="8522" w:type="dxa"/>
          </w:tcPr>
          <w:p w:rsidR="00713675" w:rsidRDefault="00E55FA1" w:rsidP="00855C66">
            <w:pPr>
              <w:tabs>
                <w:tab w:val="left" w:pos="720"/>
                <w:tab w:val="left" w:pos="1440"/>
                <w:tab w:val="left" w:pos="2160"/>
                <w:tab w:val="left" w:pos="2880"/>
              </w:tabs>
            </w:pPr>
            <w:r>
              <w:t>Scott Warner</w:t>
            </w:r>
          </w:p>
        </w:tc>
      </w:tr>
      <w:tr w:rsidR="00713675">
        <w:tc>
          <w:tcPr>
            <w:tcW w:w="8522" w:type="dxa"/>
          </w:tcPr>
          <w:p w:rsidR="00713675" w:rsidRDefault="00E55FA1" w:rsidP="00855C66">
            <w:pPr>
              <w:tabs>
                <w:tab w:val="left" w:pos="720"/>
                <w:tab w:val="left" w:pos="1440"/>
                <w:tab w:val="left" w:pos="2160"/>
                <w:tab w:val="left" w:pos="2880"/>
              </w:tabs>
            </w:pPr>
            <w:r>
              <w:t>Investigations Manager</w:t>
            </w:r>
          </w:p>
        </w:tc>
      </w:tr>
      <w:tr w:rsidR="00713675">
        <w:tc>
          <w:tcPr>
            <w:tcW w:w="8522" w:type="dxa"/>
          </w:tcPr>
          <w:p w:rsidR="00713675" w:rsidRDefault="00DD3D8A" w:rsidP="00E55FA1">
            <w:pPr>
              <w:tabs>
                <w:tab w:val="left" w:pos="720"/>
                <w:tab w:val="left" w:pos="1440"/>
                <w:tab w:val="left" w:pos="2160"/>
                <w:tab w:val="left" w:pos="2880"/>
              </w:tabs>
            </w:pPr>
            <w:r>
              <w:t>Financial Services</w:t>
            </w:r>
            <w:r w:rsidR="00713675">
              <w:t xml:space="preserve"> / </w:t>
            </w:r>
            <w:r w:rsidR="00E55FA1">
              <w:t>Corporate Investigation Team</w:t>
            </w:r>
          </w:p>
        </w:tc>
      </w:tr>
      <w:tr w:rsidR="00713675">
        <w:tc>
          <w:tcPr>
            <w:tcW w:w="8522" w:type="dxa"/>
          </w:tcPr>
          <w:p w:rsidR="00713675" w:rsidRDefault="00713675" w:rsidP="00E55FA1">
            <w:pPr>
              <w:tabs>
                <w:tab w:val="left" w:pos="720"/>
                <w:tab w:val="left" w:pos="1440"/>
                <w:tab w:val="left" w:pos="2160"/>
                <w:tab w:val="left" w:pos="2880"/>
              </w:tabs>
              <w:rPr>
                <w:color w:val="0000FF"/>
                <w:u w:val="single"/>
              </w:rPr>
            </w:pPr>
            <w:r>
              <w:t xml:space="preserve">Tel:  01865 </w:t>
            </w:r>
            <w:r w:rsidR="00E55FA1">
              <w:t>252158</w:t>
            </w:r>
            <w:r>
              <w:t xml:space="preserve">  e-mail:  </w:t>
            </w:r>
            <w:r w:rsidR="00E55FA1">
              <w:t>swarner2@oxford.gov.uk</w:t>
            </w:r>
          </w:p>
        </w:tc>
      </w:tr>
    </w:tbl>
    <w:p w:rsidR="00F4367A" w:rsidRDefault="00F4367A" w:rsidP="00BF6592">
      <w:pPr>
        <w:rPr>
          <w:rFonts w:cs="Arial"/>
          <w:b/>
          <w:bCs/>
          <w:sz w:val="20"/>
        </w:rPr>
      </w:pPr>
    </w:p>
    <w:sectPr w:rsidR="00F4367A" w:rsidSect="004D2AC1">
      <w:footerReference w:type="default" r:id="rId10"/>
      <w:pgSz w:w="11906" w:h="16838"/>
      <w:pgMar w:top="1304" w:right="1304" w:bottom="1304" w:left="1304" w:header="709"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5BB" w:rsidRDefault="001675BB">
      <w:r>
        <w:separator/>
      </w:r>
    </w:p>
  </w:endnote>
  <w:endnote w:type="continuationSeparator" w:id="0">
    <w:p w:rsidR="001675BB" w:rsidRDefault="00167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F46" w:rsidRDefault="00036F46">
    <w:pPr>
      <w:pStyle w:val="Footer"/>
      <w:jc w:val="right"/>
    </w:pPr>
  </w:p>
  <w:p w:rsidR="00036F46" w:rsidRDefault="00036F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5BB" w:rsidRDefault="001675BB">
      <w:r>
        <w:separator/>
      </w:r>
    </w:p>
  </w:footnote>
  <w:footnote w:type="continuationSeparator" w:id="0">
    <w:p w:rsidR="001675BB" w:rsidRDefault="00167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24C2"/>
    <w:multiLevelType w:val="hybridMultilevel"/>
    <w:tmpl w:val="736673DE"/>
    <w:lvl w:ilvl="0" w:tplc="0809000F">
      <w:start w:val="1"/>
      <w:numFmt w:val="decimal"/>
      <w:lvlText w:val="%1."/>
      <w:lvlJc w:val="left"/>
      <w:pPr>
        <w:ind w:left="360" w:hanging="360"/>
      </w:pPr>
      <w:rPr>
        <w:rFonts w:hint="default"/>
        <w:b w:val="0"/>
      </w:rPr>
    </w:lvl>
    <w:lvl w:ilvl="1" w:tplc="08090001">
      <w:start w:val="1"/>
      <w:numFmt w:val="bullet"/>
      <w:lvlText w:val=""/>
      <w:lvlJc w:val="left"/>
      <w:pPr>
        <w:ind w:left="1080" w:hanging="360"/>
      </w:pPr>
      <w:rPr>
        <w:rFonts w:ascii="Symbol" w:hAnsi="Symbol" w:hint="default"/>
        <w:b w:val="0"/>
        <w:color w:val="auto"/>
      </w:rPr>
    </w:lvl>
    <w:lvl w:ilvl="2" w:tplc="CD886F06">
      <w:start w:val="1"/>
      <w:numFmt w:val="lowerLetter"/>
      <w:lvlText w:val="%3."/>
      <w:lvlJc w:val="left"/>
      <w:pPr>
        <w:ind w:left="1980" w:hanging="360"/>
      </w:pPr>
      <w:rPr>
        <w:rFonts w:hint="default"/>
        <w:b w:val="0"/>
        <w:color w:val="auto"/>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B847328"/>
    <w:multiLevelType w:val="hybridMultilevel"/>
    <w:tmpl w:val="0714FF3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2BD7EC1"/>
    <w:multiLevelType w:val="hybridMultilevel"/>
    <w:tmpl w:val="557874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35431D6"/>
    <w:multiLevelType w:val="hybridMultilevel"/>
    <w:tmpl w:val="FD566A40"/>
    <w:lvl w:ilvl="0" w:tplc="0AE0A0E0">
      <w:start w:val="8"/>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BD0744"/>
    <w:multiLevelType w:val="hybridMultilevel"/>
    <w:tmpl w:val="D9ECBB58"/>
    <w:lvl w:ilvl="0" w:tplc="08090001">
      <w:start w:val="1"/>
      <w:numFmt w:val="bullet"/>
      <w:lvlText w:val=""/>
      <w:lvlJc w:val="left"/>
      <w:pPr>
        <w:ind w:left="731" w:hanging="360"/>
      </w:pPr>
      <w:rPr>
        <w:rFonts w:ascii="Symbol" w:hAnsi="Symbol" w:hint="default"/>
      </w:rPr>
    </w:lvl>
    <w:lvl w:ilvl="1" w:tplc="08090003">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5">
    <w:nsid w:val="1B605A1A"/>
    <w:multiLevelType w:val="hybridMultilevel"/>
    <w:tmpl w:val="4E78C9D8"/>
    <w:lvl w:ilvl="0" w:tplc="BB6A77C8">
      <w:start w:val="1"/>
      <w:numFmt w:val="decimal"/>
      <w:lvlText w:val="%1."/>
      <w:lvlJc w:val="left"/>
      <w:pPr>
        <w:ind w:left="1080" w:hanging="36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C1C1441"/>
    <w:multiLevelType w:val="hybridMultilevel"/>
    <w:tmpl w:val="121061F6"/>
    <w:lvl w:ilvl="0" w:tplc="E6E0D0A0">
      <w:start w:val="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CE95C4F"/>
    <w:multiLevelType w:val="hybridMultilevel"/>
    <w:tmpl w:val="2BCA5A12"/>
    <w:lvl w:ilvl="0" w:tplc="835E56A6">
      <w:start w:val="18"/>
      <w:numFmt w:val="decimal"/>
      <w:lvlText w:val="%1."/>
      <w:lvlJc w:val="left"/>
      <w:pPr>
        <w:ind w:left="786" w:hanging="360"/>
      </w:pPr>
      <w:rPr>
        <w:rFonts w:hint="default"/>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nsid w:val="21487FF8"/>
    <w:multiLevelType w:val="hybridMultilevel"/>
    <w:tmpl w:val="C164CD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5AD2007"/>
    <w:multiLevelType w:val="hybridMultilevel"/>
    <w:tmpl w:val="BEF8A8C6"/>
    <w:lvl w:ilvl="0" w:tplc="DB1E8D50">
      <w:start w:val="17"/>
      <w:numFmt w:val="decimal"/>
      <w:lvlText w:val="%1."/>
      <w:lvlJc w:val="left"/>
      <w:pPr>
        <w:ind w:left="72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5BA164C"/>
    <w:multiLevelType w:val="hybridMultilevel"/>
    <w:tmpl w:val="320A0CDA"/>
    <w:lvl w:ilvl="0" w:tplc="BB6A77C8">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507CD3"/>
    <w:multiLevelType w:val="hybridMultilevel"/>
    <w:tmpl w:val="15EC5FC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2A677D92"/>
    <w:multiLevelType w:val="hybridMultilevel"/>
    <w:tmpl w:val="5D96C9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EF17ECE"/>
    <w:multiLevelType w:val="hybridMultilevel"/>
    <w:tmpl w:val="5BB0FD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30D47C4"/>
    <w:multiLevelType w:val="hybridMultilevel"/>
    <w:tmpl w:val="E286C3E8"/>
    <w:lvl w:ilvl="0" w:tplc="0AE0A0E0">
      <w:start w:val="8"/>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3F630FE"/>
    <w:multiLevelType w:val="hybridMultilevel"/>
    <w:tmpl w:val="5680E8C4"/>
    <w:lvl w:ilvl="0" w:tplc="0809000F">
      <w:start w:val="1"/>
      <w:numFmt w:val="decimal"/>
      <w:lvlText w:val="%1."/>
      <w:lvlJc w:val="left"/>
      <w:pPr>
        <w:ind w:left="1443" w:hanging="360"/>
      </w:pPr>
    </w:lvl>
    <w:lvl w:ilvl="1" w:tplc="08090019" w:tentative="1">
      <w:start w:val="1"/>
      <w:numFmt w:val="lowerLetter"/>
      <w:lvlText w:val="%2."/>
      <w:lvlJc w:val="left"/>
      <w:pPr>
        <w:ind w:left="2163" w:hanging="360"/>
      </w:pPr>
    </w:lvl>
    <w:lvl w:ilvl="2" w:tplc="0809001B" w:tentative="1">
      <w:start w:val="1"/>
      <w:numFmt w:val="lowerRoman"/>
      <w:lvlText w:val="%3."/>
      <w:lvlJc w:val="right"/>
      <w:pPr>
        <w:ind w:left="2883" w:hanging="180"/>
      </w:pPr>
    </w:lvl>
    <w:lvl w:ilvl="3" w:tplc="0809000F" w:tentative="1">
      <w:start w:val="1"/>
      <w:numFmt w:val="decimal"/>
      <w:lvlText w:val="%4."/>
      <w:lvlJc w:val="left"/>
      <w:pPr>
        <w:ind w:left="3603" w:hanging="360"/>
      </w:pPr>
    </w:lvl>
    <w:lvl w:ilvl="4" w:tplc="08090019" w:tentative="1">
      <w:start w:val="1"/>
      <w:numFmt w:val="lowerLetter"/>
      <w:lvlText w:val="%5."/>
      <w:lvlJc w:val="left"/>
      <w:pPr>
        <w:ind w:left="4323" w:hanging="360"/>
      </w:pPr>
    </w:lvl>
    <w:lvl w:ilvl="5" w:tplc="0809001B" w:tentative="1">
      <w:start w:val="1"/>
      <w:numFmt w:val="lowerRoman"/>
      <w:lvlText w:val="%6."/>
      <w:lvlJc w:val="right"/>
      <w:pPr>
        <w:ind w:left="5043" w:hanging="180"/>
      </w:pPr>
    </w:lvl>
    <w:lvl w:ilvl="6" w:tplc="0809000F" w:tentative="1">
      <w:start w:val="1"/>
      <w:numFmt w:val="decimal"/>
      <w:lvlText w:val="%7."/>
      <w:lvlJc w:val="left"/>
      <w:pPr>
        <w:ind w:left="5763" w:hanging="360"/>
      </w:pPr>
    </w:lvl>
    <w:lvl w:ilvl="7" w:tplc="08090019" w:tentative="1">
      <w:start w:val="1"/>
      <w:numFmt w:val="lowerLetter"/>
      <w:lvlText w:val="%8."/>
      <w:lvlJc w:val="left"/>
      <w:pPr>
        <w:ind w:left="6483" w:hanging="360"/>
      </w:pPr>
    </w:lvl>
    <w:lvl w:ilvl="8" w:tplc="0809001B" w:tentative="1">
      <w:start w:val="1"/>
      <w:numFmt w:val="lowerRoman"/>
      <w:lvlText w:val="%9."/>
      <w:lvlJc w:val="right"/>
      <w:pPr>
        <w:ind w:left="7203" w:hanging="180"/>
      </w:pPr>
    </w:lvl>
  </w:abstractNum>
  <w:abstractNum w:abstractNumId="16">
    <w:nsid w:val="35582374"/>
    <w:multiLevelType w:val="hybridMultilevel"/>
    <w:tmpl w:val="C2FE1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5E37A81"/>
    <w:multiLevelType w:val="hybridMultilevel"/>
    <w:tmpl w:val="D5D8533C"/>
    <w:lvl w:ilvl="0" w:tplc="835E56A6">
      <w:start w:val="18"/>
      <w:numFmt w:val="decimal"/>
      <w:lvlText w:val="%1."/>
      <w:lvlJc w:val="left"/>
      <w:pPr>
        <w:ind w:left="72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368B1E6A"/>
    <w:multiLevelType w:val="hybridMultilevel"/>
    <w:tmpl w:val="1C4C106C"/>
    <w:lvl w:ilvl="0" w:tplc="67209C18">
      <w:start w:val="18"/>
      <w:numFmt w:val="decimal"/>
      <w:lvlText w:val="%1."/>
      <w:lvlJc w:val="left"/>
      <w:pPr>
        <w:ind w:left="709" w:hanging="36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nsid w:val="375B5156"/>
    <w:multiLevelType w:val="hybridMultilevel"/>
    <w:tmpl w:val="32EE46FA"/>
    <w:lvl w:ilvl="0" w:tplc="E1B6C12C">
      <w:start w:val="19"/>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76A2962"/>
    <w:multiLevelType w:val="hybridMultilevel"/>
    <w:tmpl w:val="9FA878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98B46EC"/>
    <w:multiLevelType w:val="hybridMultilevel"/>
    <w:tmpl w:val="42EA8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BAE4988"/>
    <w:multiLevelType w:val="hybridMultilevel"/>
    <w:tmpl w:val="6E0C450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3CCE7B2B"/>
    <w:multiLevelType w:val="hybridMultilevel"/>
    <w:tmpl w:val="D744FE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3E4E0625"/>
    <w:multiLevelType w:val="hybridMultilevel"/>
    <w:tmpl w:val="C19E6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3A54E81"/>
    <w:multiLevelType w:val="hybridMultilevel"/>
    <w:tmpl w:val="C71E685E"/>
    <w:lvl w:ilvl="0" w:tplc="835E56A6">
      <w:start w:val="18"/>
      <w:numFmt w:val="decimal"/>
      <w:lvlText w:val="%1."/>
      <w:lvlJc w:val="left"/>
      <w:pPr>
        <w:ind w:left="786" w:hanging="360"/>
      </w:pPr>
      <w:rPr>
        <w:rFonts w:hint="default"/>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nsid w:val="4613080F"/>
    <w:multiLevelType w:val="hybridMultilevel"/>
    <w:tmpl w:val="8C1EDD34"/>
    <w:lvl w:ilvl="0" w:tplc="835E56A6">
      <w:start w:val="18"/>
      <w:numFmt w:val="decimal"/>
      <w:lvlText w:val="%1."/>
      <w:lvlJc w:val="left"/>
      <w:pPr>
        <w:ind w:left="786" w:hanging="360"/>
      </w:pPr>
      <w:rPr>
        <w:rFonts w:hint="default"/>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7">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94A52FF"/>
    <w:multiLevelType w:val="hybridMultilevel"/>
    <w:tmpl w:val="8B98F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CBD3993"/>
    <w:multiLevelType w:val="hybridMultilevel"/>
    <w:tmpl w:val="EF7E74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4E500D39"/>
    <w:multiLevelType w:val="hybridMultilevel"/>
    <w:tmpl w:val="FB42D7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nsid w:val="526E0B1E"/>
    <w:multiLevelType w:val="hybridMultilevel"/>
    <w:tmpl w:val="3EFA54AE"/>
    <w:lvl w:ilvl="0" w:tplc="DB1E8D50">
      <w:start w:val="17"/>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5392ABA"/>
    <w:multiLevelType w:val="hybridMultilevel"/>
    <w:tmpl w:val="B0AC44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57FB132E"/>
    <w:multiLevelType w:val="hybridMultilevel"/>
    <w:tmpl w:val="24ECCEF6"/>
    <w:lvl w:ilvl="0" w:tplc="BB6A77C8">
      <w:start w:val="1"/>
      <w:numFmt w:val="decimal"/>
      <w:lvlText w:val="%1."/>
      <w:lvlJc w:val="left"/>
      <w:pPr>
        <w:ind w:left="1140" w:hanging="360"/>
      </w:pPr>
      <w:rPr>
        <w:b w:val="0"/>
        <w:color w:val="auto"/>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4">
    <w:nsid w:val="586156AC"/>
    <w:multiLevelType w:val="hybridMultilevel"/>
    <w:tmpl w:val="183E7DEC"/>
    <w:lvl w:ilvl="0" w:tplc="98580CA2">
      <w:numFmt w:val="bullet"/>
      <w:lvlText w:val="-"/>
      <w:lvlJc w:val="left"/>
      <w:pPr>
        <w:ind w:left="6120" w:hanging="360"/>
      </w:pPr>
      <w:rPr>
        <w:rFonts w:ascii="Arial" w:eastAsia="Calibri" w:hAnsi="Arial" w:cs="Arial" w:hint="default"/>
      </w:rPr>
    </w:lvl>
    <w:lvl w:ilvl="1" w:tplc="08090003">
      <w:start w:val="1"/>
      <w:numFmt w:val="bullet"/>
      <w:lvlText w:val="o"/>
      <w:lvlJc w:val="left"/>
      <w:pPr>
        <w:ind w:left="6840" w:hanging="360"/>
      </w:pPr>
      <w:rPr>
        <w:rFonts w:ascii="Courier New" w:hAnsi="Courier New" w:cs="Courier New" w:hint="default"/>
      </w:rPr>
    </w:lvl>
    <w:lvl w:ilvl="2" w:tplc="08090005">
      <w:start w:val="1"/>
      <w:numFmt w:val="bullet"/>
      <w:lvlText w:val="."/>
      <w:lvlJc w:val="left"/>
      <w:pPr>
        <w:tabs>
          <w:tab w:val="num" w:pos="2160"/>
        </w:tabs>
        <w:ind w:left="7560" w:hanging="360"/>
      </w:pPr>
      <w:rPr>
        <w:rFonts w:ascii="Wingdings" w:hAnsi="Wingdings" w:hint="default"/>
      </w:rPr>
    </w:lvl>
    <w:lvl w:ilvl="3" w:tplc="08090001">
      <w:start w:val="1"/>
      <w:numFmt w:val="bullet"/>
      <w:lvlText w:val="."/>
      <w:lvlJc w:val="left"/>
      <w:pPr>
        <w:tabs>
          <w:tab w:val="num" w:pos="2880"/>
        </w:tabs>
        <w:ind w:left="8280" w:hanging="360"/>
      </w:pPr>
      <w:rPr>
        <w:rFonts w:ascii="Symbol" w:hAnsi="Symbol" w:hint="default"/>
      </w:rPr>
    </w:lvl>
    <w:lvl w:ilvl="4" w:tplc="08090003">
      <w:start w:val="1"/>
      <w:numFmt w:val="bullet"/>
      <w:lvlText w:val="o"/>
      <w:lvlJc w:val="left"/>
      <w:pPr>
        <w:ind w:left="9000" w:hanging="360"/>
      </w:pPr>
      <w:rPr>
        <w:rFonts w:ascii="Courier New" w:hAnsi="Courier New" w:cs="Courier New" w:hint="default"/>
      </w:rPr>
    </w:lvl>
    <w:lvl w:ilvl="5" w:tplc="08090005">
      <w:start w:val="1"/>
      <w:numFmt w:val="bullet"/>
      <w:lvlText w:val="."/>
      <w:lvlJc w:val="left"/>
      <w:pPr>
        <w:tabs>
          <w:tab w:val="num" w:pos="4320"/>
        </w:tabs>
        <w:ind w:left="9720" w:hanging="360"/>
      </w:pPr>
      <w:rPr>
        <w:rFonts w:ascii="Wingdings" w:hAnsi="Wingdings" w:hint="default"/>
      </w:rPr>
    </w:lvl>
    <w:lvl w:ilvl="6" w:tplc="08090001">
      <w:start w:val="1"/>
      <w:numFmt w:val="bullet"/>
      <w:lvlText w:val="."/>
      <w:lvlJc w:val="left"/>
      <w:pPr>
        <w:tabs>
          <w:tab w:val="num" w:pos="5040"/>
        </w:tabs>
        <w:ind w:left="10440" w:hanging="360"/>
      </w:pPr>
      <w:rPr>
        <w:rFonts w:ascii="Symbol" w:hAnsi="Symbol" w:hint="default"/>
      </w:rPr>
    </w:lvl>
    <w:lvl w:ilvl="7" w:tplc="08090003">
      <w:start w:val="1"/>
      <w:numFmt w:val="bullet"/>
      <w:lvlText w:val="o"/>
      <w:lvlJc w:val="left"/>
      <w:pPr>
        <w:ind w:left="11160" w:hanging="360"/>
      </w:pPr>
      <w:rPr>
        <w:rFonts w:ascii="Courier New" w:hAnsi="Courier New" w:cs="Courier New" w:hint="default"/>
      </w:rPr>
    </w:lvl>
    <w:lvl w:ilvl="8" w:tplc="08090005">
      <w:start w:val="1"/>
      <w:numFmt w:val="bullet"/>
      <w:lvlText w:val="."/>
      <w:lvlJc w:val="left"/>
      <w:pPr>
        <w:tabs>
          <w:tab w:val="num" w:pos="6480"/>
        </w:tabs>
        <w:ind w:left="11880" w:hanging="360"/>
      </w:pPr>
      <w:rPr>
        <w:rFonts w:ascii="Wingdings" w:hAnsi="Wingdings" w:hint="default"/>
      </w:rPr>
    </w:lvl>
  </w:abstractNum>
  <w:abstractNum w:abstractNumId="35">
    <w:nsid w:val="5B9D627C"/>
    <w:multiLevelType w:val="hybridMultilevel"/>
    <w:tmpl w:val="0F2EC066"/>
    <w:lvl w:ilvl="0" w:tplc="CD886F06">
      <w:start w:val="1"/>
      <w:numFmt w:val="lowerLetter"/>
      <w:lvlText w:val="%1."/>
      <w:lvlJc w:val="left"/>
      <w:pPr>
        <w:ind w:left="108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0AB5A91"/>
    <w:multiLevelType w:val="hybridMultilevel"/>
    <w:tmpl w:val="0A12A15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61472D4E"/>
    <w:multiLevelType w:val="hybridMultilevel"/>
    <w:tmpl w:val="04582578"/>
    <w:lvl w:ilvl="0" w:tplc="835E56A6">
      <w:start w:val="18"/>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4421107"/>
    <w:multiLevelType w:val="hybridMultilevel"/>
    <w:tmpl w:val="EDA0AE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D7D1DA8"/>
    <w:multiLevelType w:val="hybridMultilevel"/>
    <w:tmpl w:val="D05878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6EE9383F"/>
    <w:multiLevelType w:val="hybridMultilevel"/>
    <w:tmpl w:val="F470EC3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FB659A6"/>
    <w:multiLevelType w:val="hybridMultilevel"/>
    <w:tmpl w:val="1ADCB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FFB3C57"/>
    <w:multiLevelType w:val="hybridMultilevel"/>
    <w:tmpl w:val="CA0010A6"/>
    <w:lvl w:ilvl="0" w:tplc="65165CC6">
      <w:start w:val="1"/>
      <w:numFmt w:val="decimal"/>
      <w:lvlText w:val="%1."/>
      <w:lvlJc w:val="left"/>
      <w:pPr>
        <w:ind w:left="786"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3">
    <w:nsid w:val="724A529E"/>
    <w:multiLevelType w:val="hybridMultilevel"/>
    <w:tmpl w:val="93D02B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2975843"/>
    <w:multiLevelType w:val="hybridMultilevel"/>
    <w:tmpl w:val="61E4D3A4"/>
    <w:lvl w:ilvl="0" w:tplc="BB6A77C8">
      <w:start w:val="1"/>
      <w:numFmt w:val="decimal"/>
      <w:lvlText w:val="%1."/>
      <w:lvlJc w:val="left"/>
      <w:pPr>
        <w:ind w:left="360" w:hanging="360"/>
      </w:pPr>
      <w:rPr>
        <w:b w:val="0"/>
      </w:rPr>
    </w:lvl>
    <w:lvl w:ilvl="1" w:tplc="32D8D438">
      <w:start w:val="1"/>
      <w:numFmt w:val="lowerLetter"/>
      <w:lvlText w:val="%2."/>
      <w:lvlJc w:val="left"/>
      <w:pPr>
        <w:ind w:left="1080" w:hanging="360"/>
      </w:pPr>
      <w:rPr>
        <w:b w:val="0"/>
        <w:color w:val="auto"/>
      </w:rPr>
    </w:lvl>
    <w:lvl w:ilvl="2" w:tplc="0809001B">
      <w:start w:val="1"/>
      <w:numFmt w:val="lowerRoman"/>
      <w:lvlText w:val="%3."/>
      <w:lvlJc w:val="right"/>
      <w:pPr>
        <w:ind w:left="1980" w:hanging="360"/>
      </w:pPr>
      <w:rPr>
        <w:rFonts w:hint="default"/>
        <w:b w:val="0"/>
        <w:color w:val="auto"/>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76BA7F88"/>
    <w:multiLevelType w:val="hybridMultilevel"/>
    <w:tmpl w:val="A2AC34EC"/>
    <w:lvl w:ilvl="0" w:tplc="BB6A77C8">
      <w:start w:val="1"/>
      <w:numFmt w:val="decimal"/>
      <w:lvlText w:val="%1."/>
      <w:lvlJc w:val="left"/>
      <w:pPr>
        <w:ind w:left="732" w:hanging="360"/>
      </w:pPr>
      <w:rPr>
        <w:b w:val="0"/>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46">
    <w:nsid w:val="7AA554A6"/>
    <w:multiLevelType w:val="hybridMultilevel"/>
    <w:tmpl w:val="6C6CF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0"/>
  </w:num>
  <w:num w:numId="3">
    <w:abstractNumId w:val="42"/>
  </w:num>
  <w:num w:numId="4">
    <w:abstractNumId w:val="30"/>
  </w:num>
  <w:num w:numId="5">
    <w:abstractNumId w:val="46"/>
  </w:num>
  <w:num w:numId="6">
    <w:abstractNumId w:val="43"/>
  </w:num>
  <w:num w:numId="7">
    <w:abstractNumId w:val="28"/>
  </w:num>
  <w:num w:numId="8">
    <w:abstractNumId w:val="21"/>
  </w:num>
  <w:num w:numId="9">
    <w:abstractNumId w:val="32"/>
  </w:num>
  <w:num w:numId="10">
    <w:abstractNumId w:val="20"/>
  </w:num>
  <w:num w:numId="11">
    <w:abstractNumId w:val="16"/>
  </w:num>
  <w:num w:numId="12">
    <w:abstractNumId w:val="11"/>
  </w:num>
  <w:num w:numId="13">
    <w:abstractNumId w:val="41"/>
  </w:num>
  <w:num w:numId="14">
    <w:abstractNumId w:val="8"/>
  </w:num>
  <w:num w:numId="15">
    <w:abstractNumId w:val="4"/>
  </w:num>
  <w:num w:numId="16">
    <w:abstractNumId w:val="5"/>
  </w:num>
  <w:num w:numId="17">
    <w:abstractNumId w:val="35"/>
  </w:num>
  <w:num w:numId="18">
    <w:abstractNumId w:val="33"/>
  </w:num>
  <w:num w:numId="19">
    <w:abstractNumId w:val="45"/>
  </w:num>
  <w:num w:numId="20">
    <w:abstractNumId w:val="44"/>
  </w:num>
  <w:num w:numId="21">
    <w:abstractNumId w:val="40"/>
  </w:num>
  <w:num w:numId="22">
    <w:abstractNumId w:val="13"/>
  </w:num>
  <w:num w:numId="23">
    <w:abstractNumId w:val="10"/>
  </w:num>
  <w:num w:numId="24">
    <w:abstractNumId w:val="2"/>
  </w:num>
  <w:num w:numId="25">
    <w:abstractNumId w:val="12"/>
  </w:num>
  <w:num w:numId="26">
    <w:abstractNumId w:val="36"/>
  </w:num>
  <w:num w:numId="27">
    <w:abstractNumId w:val="1"/>
  </w:num>
  <w:num w:numId="28">
    <w:abstractNumId w:val="6"/>
  </w:num>
  <w:num w:numId="29">
    <w:abstractNumId w:val="23"/>
  </w:num>
  <w:num w:numId="30">
    <w:abstractNumId w:val="15"/>
  </w:num>
  <w:num w:numId="31">
    <w:abstractNumId w:val="24"/>
  </w:num>
  <w:num w:numId="32">
    <w:abstractNumId w:val="3"/>
  </w:num>
  <w:num w:numId="33">
    <w:abstractNumId w:val="14"/>
  </w:num>
  <w:num w:numId="34">
    <w:abstractNumId w:val="22"/>
  </w:num>
  <w:num w:numId="35">
    <w:abstractNumId w:val="38"/>
  </w:num>
  <w:num w:numId="36">
    <w:abstractNumId w:val="31"/>
  </w:num>
  <w:num w:numId="37">
    <w:abstractNumId w:val="9"/>
  </w:num>
  <w:num w:numId="38">
    <w:abstractNumId w:val="37"/>
  </w:num>
  <w:num w:numId="39">
    <w:abstractNumId w:val="19"/>
  </w:num>
  <w:num w:numId="40">
    <w:abstractNumId w:val="18"/>
  </w:num>
  <w:num w:numId="41">
    <w:abstractNumId w:val="7"/>
  </w:num>
  <w:num w:numId="42">
    <w:abstractNumId w:val="25"/>
  </w:num>
  <w:num w:numId="43">
    <w:abstractNumId w:val="26"/>
  </w:num>
  <w:num w:numId="44">
    <w:abstractNumId w:val="17"/>
  </w:num>
  <w:num w:numId="45">
    <w:abstractNumId w:val="39"/>
  </w:num>
  <w:num w:numId="46">
    <w:abstractNumId w:val="29"/>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39A5"/>
    <w:rsid w:val="00006D48"/>
    <w:rsid w:val="000116BF"/>
    <w:rsid w:val="000131A8"/>
    <w:rsid w:val="000150A0"/>
    <w:rsid w:val="00016121"/>
    <w:rsid w:val="000168F7"/>
    <w:rsid w:val="00022DF4"/>
    <w:rsid w:val="00026745"/>
    <w:rsid w:val="00030F54"/>
    <w:rsid w:val="00032229"/>
    <w:rsid w:val="00036F46"/>
    <w:rsid w:val="00047342"/>
    <w:rsid w:val="00052BE4"/>
    <w:rsid w:val="00054FBB"/>
    <w:rsid w:val="00056263"/>
    <w:rsid w:val="0006064C"/>
    <w:rsid w:val="0006156F"/>
    <w:rsid w:val="00061BBD"/>
    <w:rsid w:val="0006271F"/>
    <w:rsid w:val="00083DAF"/>
    <w:rsid w:val="000952CD"/>
    <w:rsid w:val="000A59B7"/>
    <w:rsid w:val="000A5B88"/>
    <w:rsid w:val="000B0CD0"/>
    <w:rsid w:val="000B234E"/>
    <w:rsid w:val="000B353D"/>
    <w:rsid w:val="000B6D93"/>
    <w:rsid w:val="000B713A"/>
    <w:rsid w:val="000C2410"/>
    <w:rsid w:val="000C3928"/>
    <w:rsid w:val="000C4BAF"/>
    <w:rsid w:val="000D30F5"/>
    <w:rsid w:val="000D4BAE"/>
    <w:rsid w:val="000E3A8A"/>
    <w:rsid w:val="000E3C8F"/>
    <w:rsid w:val="000E6718"/>
    <w:rsid w:val="000E6B3C"/>
    <w:rsid w:val="000F6C67"/>
    <w:rsid w:val="001046A6"/>
    <w:rsid w:val="00106937"/>
    <w:rsid w:val="001137DA"/>
    <w:rsid w:val="001143CE"/>
    <w:rsid w:val="00115173"/>
    <w:rsid w:val="001236E9"/>
    <w:rsid w:val="00123F3B"/>
    <w:rsid w:val="001309C9"/>
    <w:rsid w:val="0013241E"/>
    <w:rsid w:val="00140080"/>
    <w:rsid w:val="00144900"/>
    <w:rsid w:val="00164331"/>
    <w:rsid w:val="00165AB5"/>
    <w:rsid w:val="001660D3"/>
    <w:rsid w:val="001675BB"/>
    <w:rsid w:val="0016784F"/>
    <w:rsid w:val="0017091A"/>
    <w:rsid w:val="0017177F"/>
    <w:rsid w:val="00172E8A"/>
    <w:rsid w:val="00173F5F"/>
    <w:rsid w:val="001744A4"/>
    <w:rsid w:val="00180434"/>
    <w:rsid w:val="001850B6"/>
    <w:rsid w:val="00187847"/>
    <w:rsid w:val="001878F4"/>
    <w:rsid w:val="001974C0"/>
    <w:rsid w:val="001B1B55"/>
    <w:rsid w:val="001B2B99"/>
    <w:rsid w:val="001B3501"/>
    <w:rsid w:val="001B41B8"/>
    <w:rsid w:val="001B5C57"/>
    <w:rsid w:val="001C0875"/>
    <w:rsid w:val="001C09D5"/>
    <w:rsid w:val="001C2BEE"/>
    <w:rsid w:val="001D31E1"/>
    <w:rsid w:val="001D5732"/>
    <w:rsid w:val="001D76DE"/>
    <w:rsid w:val="001E0E9F"/>
    <w:rsid w:val="001E29B3"/>
    <w:rsid w:val="001E59B8"/>
    <w:rsid w:val="001E6847"/>
    <w:rsid w:val="001E6C28"/>
    <w:rsid w:val="001E7E61"/>
    <w:rsid w:val="001F5EB0"/>
    <w:rsid w:val="001F7D3D"/>
    <w:rsid w:val="00201566"/>
    <w:rsid w:val="002133FC"/>
    <w:rsid w:val="0021614D"/>
    <w:rsid w:val="00225E90"/>
    <w:rsid w:val="002313E2"/>
    <w:rsid w:val="00235785"/>
    <w:rsid w:val="0023596B"/>
    <w:rsid w:val="00244913"/>
    <w:rsid w:val="002513A0"/>
    <w:rsid w:val="00257142"/>
    <w:rsid w:val="002617EF"/>
    <w:rsid w:val="00262002"/>
    <w:rsid w:val="002704EB"/>
    <w:rsid w:val="00274BC1"/>
    <w:rsid w:val="0027761A"/>
    <w:rsid w:val="0028256B"/>
    <w:rsid w:val="00283DE0"/>
    <w:rsid w:val="00285BDB"/>
    <w:rsid w:val="0028754B"/>
    <w:rsid w:val="002932BC"/>
    <w:rsid w:val="00295245"/>
    <w:rsid w:val="00297E04"/>
    <w:rsid w:val="002A48DC"/>
    <w:rsid w:val="002B7E3D"/>
    <w:rsid w:val="002C1A19"/>
    <w:rsid w:val="002C38EB"/>
    <w:rsid w:val="002D3D47"/>
    <w:rsid w:val="002E0FC4"/>
    <w:rsid w:val="00302A89"/>
    <w:rsid w:val="00302AD0"/>
    <w:rsid w:val="00302C1D"/>
    <w:rsid w:val="00307935"/>
    <w:rsid w:val="00311DCC"/>
    <w:rsid w:val="00316323"/>
    <w:rsid w:val="00316DEA"/>
    <w:rsid w:val="00320230"/>
    <w:rsid w:val="003203AD"/>
    <w:rsid w:val="00324DA2"/>
    <w:rsid w:val="003367B7"/>
    <w:rsid w:val="00340B34"/>
    <w:rsid w:val="00341D2E"/>
    <w:rsid w:val="00350F3A"/>
    <w:rsid w:val="00355939"/>
    <w:rsid w:val="00356144"/>
    <w:rsid w:val="00364C98"/>
    <w:rsid w:val="00365ADB"/>
    <w:rsid w:val="003677F2"/>
    <w:rsid w:val="00375FCC"/>
    <w:rsid w:val="00381606"/>
    <w:rsid w:val="0039181F"/>
    <w:rsid w:val="003A0019"/>
    <w:rsid w:val="003A27B1"/>
    <w:rsid w:val="003A3949"/>
    <w:rsid w:val="003A626C"/>
    <w:rsid w:val="003B0413"/>
    <w:rsid w:val="003D0AE3"/>
    <w:rsid w:val="003D2C71"/>
    <w:rsid w:val="003D7522"/>
    <w:rsid w:val="003E2329"/>
    <w:rsid w:val="003F04A4"/>
    <w:rsid w:val="003F6233"/>
    <w:rsid w:val="0040008B"/>
    <w:rsid w:val="0040038D"/>
    <w:rsid w:val="00402823"/>
    <w:rsid w:val="00406728"/>
    <w:rsid w:val="00410548"/>
    <w:rsid w:val="004126CD"/>
    <w:rsid w:val="0041516E"/>
    <w:rsid w:val="00415C75"/>
    <w:rsid w:val="004272B8"/>
    <w:rsid w:val="00440973"/>
    <w:rsid w:val="00447892"/>
    <w:rsid w:val="00465EAF"/>
    <w:rsid w:val="0047428F"/>
    <w:rsid w:val="004761D2"/>
    <w:rsid w:val="00476314"/>
    <w:rsid w:val="004832DF"/>
    <w:rsid w:val="00486F1C"/>
    <w:rsid w:val="004870FB"/>
    <w:rsid w:val="00491015"/>
    <w:rsid w:val="00492497"/>
    <w:rsid w:val="00493366"/>
    <w:rsid w:val="0049366C"/>
    <w:rsid w:val="00494E8C"/>
    <w:rsid w:val="00495346"/>
    <w:rsid w:val="00495B9F"/>
    <w:rsid w:val="004A155C"/>
    <w:rsid w:val="004A1F3A"/>
    <w:rsid w:val="004A414B"/>
    <w:rsid w:val="004A5164"/>
    <w:rsid w:val="004A6E19"/>
    <w:rsid w:val="004A7601"/>
    <w:rsid w:val="004A77C5"/>
    <w:rsid w:val="004B20D8"/>
    <w:rsid w:val="004B33E2"/>
    <w:rsid w:val="004B68AE"/>
    <w:rsid w:val="004B69C5"/>
    <w:rsid w:val="004C5B6A"/>
    <w:rsid w:val="004C6616"/>
    <w:rsid w:val="004C71E8"/>
    <w:rsid w:val="004D2AC1"/>
    <w:rsid w:val="004E4791"/>
    <w:rsid w:val="00513ABE"/>
    <w:rsid w:val="00514C63"/>
    <w:rsid w:val="005162E8"/>
    <w:rsid w:val="00520D61"/>
    <w:rsid w:val="0052634D"/>
    <w:rsid w:val="005339D9"/>
    <w:rsid w:val="00542C6B"/>
    <w:rsid w:val="0054789C"/>
    <w:rsid w:val="00547A3E"/>
    <w:rsid w:val="005512A2"/>
    <w:rsid w:val="00560D46"/>
    <w:rsid w:val="00563293"/>
    <w:rsid w:val="0056670B"/>
    <w:rsid w:val="00573FF8"/>
    <w:rsid w:val="00574FAA"/>
    <w:rsid w:val="00577436"/>
    <w:rsid w:val="0058032C"/>
    <w:rsid w:val="0058170A"/>
    <w:rsid w:val="00582513"/>
    <w:rsid w:val="00595075"/>
    <w:rsid w:val="005A30DF"/>
    <w:rsid w:val="005A6D59"/>
    <w:rsid w:val="005A73B0"/>
    <w:rsid w:val="005B678B"/>
    <w:rsid w:val="005B7A29"/>
    <w:rsid w:val="005C2014"/>
    <w:rsid w:val="005C256E"/>
    <w:rsid w:val="005C5303"/>
    <w:rsid w:val="005D0BF3"/>
    <w:rsid w:val="005D5FAF"/>
    <w:rsid w:val="005D5FD9"/>
    <w:rsid w:val="005F7ECB"/>
    <w:rsid w:val="00603267"/>
    <w:rsid w:val="0060790A"/>
    <w:rsid w:val="006109E8"/>
    <w:rsid w:val="00617287"/>
    <w:rsid w:val="0061750F"/>
    <w:rsid w:val="00617E55"/>
    <w:rsid w:val="00623C2F"/>
    <w:rsid w:val="0064013D"/>
    <w:rsid w:val="00640FDA"/>
    <w:rsid w:val="00646FC7"/>
    <w:rsid w:val="00647D15"/>
    <w:rsid w:val="00654D52"/>
    <w:rsid w:val="00663062"/>
    <w:rsid w:val="00663BCC"/>
    <w:rsid w:val="00664156"/>
    <w:rsid w:val="00666AFD"/>
    <w:rsid w:val="00666CB3"/>
    <w:rsid w:val="00674107"/>
    <w:rsid w:val="00692F52"/>
    <w:rsid w:val="0069448D"/>
    <w:rsid w:val="00694F2E"/>
    <w:rsid w:val="006979B5"/>
    <w:rsid w:val="006A1FF0"/>
    <w:rsid w:val="006B7BB3"/>
    <w:rsid w:val="006C3AED"/>
    <w:rsid w:val="006D7DB5"/>
    <w:rsid w:val="006E047C"/>
    <w:rsid w:val="006E1D47"/>
    <w:rsid w:val="006E266D"/>
    <w:rsid w:val="006E3B55"/>
    <w:rsid w:val="006F2651"/>
    <w:rsid w:val="006F416B"/>
    <w:rsid w:val="00701CEC"/>
    <w:rsid w:val="00705CC1"/>
    <w:rsid w:val="007076C3"/>
    <w:rsid w:val="00710D4D"/>
    <w:rsid w:val="007116E7"/>
    <w:rsid w:val="00713675"/>
    <w:rsid w:val="007155F0"/>
    <w:rsid w:val="00733FED"/>
    <w:rsid w:val="0073454D"/>
    <w:rsid w:val="00740A12"/>
    <w:rsid w:val="00744526"/>
    <w:rsid w:val="00751428"/>
    <w:rsid w:val="0075252D"/>
    <w:rsid w:val="00753DFC"/>
    <w:rsid w:val="00763979"/>
    <w:rsid w:val="00764461"/>
    <w:rsid w:val="007665E5"/>
    <w:rsid w:val="00773A80"/>
    <w:rsid w:val="00775048"/>
    <w:rsid w:val="00777E40"/>
    <w:rsid w:val="00782EAD"/>
    <w:rsid w:val="007830B1"/>
    <w:rsid w:val="0078570D"/>
    <w:rsid w:val="00785D6D"/>
    <w:rsid w:val="007878F2"/>
    <w:rsid w:val="00790CC4"/>
    <w:rsid w:val="00790EA7"/>
    <w:rsid w:val="007A4803"/>
    <w:rsid w:val="007B675D"/>
    <w:rsid w:val="007B6E54"/>
    <w:rsid w:val="007B7C0A"/>
    <w:rsid w:val="007B7D9D"/>
    <w:rsid w:val="007D3155"/>
    <w:rsid w:val="007D5FAC"/>
    <w:rsid w:val="007E51E2"/>
    <w:rsid w:val="007F2AD3"/>
    <w:rsid w:val="007F2EA3"/>
    <w:rsid w:val="0080046D"/>
    <w:rsid w:val="00800A36"/>
    <w:rsid w:val="00805BB0"/>
    <w:rsid w:val="008075A2"/>
    <w:rsid w:val="0081180D"/>
    <w:rsid w:val="0082325F"/>
    <w:rsid w:val="00832739"/>
    <w:rsid w:val="0084231F"/>
    <w:rsid w:val="00843468"/>
    <w:rsid w:val="00851A20"/>
    <w:rsid w:val="008523FA"/>
    <w:rsid w:val="0085571A"/>
    <w:rsid w:val="00855C66"/>
    <w:rsid w:val="008602E6"/>
    <w:rsid w:val="00862AB0"/>
    <w:rsid w:val="0086540F"/>
    <w:rsid w:val="00875793"/>
    <w:rsid w:val="008808C4"/>
    <w:rsid w:val="00884DB5"/>
    <w:rsid w:val="0088597E"/>
    <w:rsid w:val="008875F6"/>
    <w:rsid w:val="00892395"/>
    <w:rsid w:val="008936C3"/>
    <w:rsid w:val="008A4F30"/>
    <w:rsid w:val="008A4FB8"/>
    <w:rsid w:val="008A548A"/>
    <w:rsid w:val="008C78D4"/>
    <w:rsid w:val="008D3B63"/>
    <w:rsid w:val="008D3DDB"/>
    <w:rsid w:val="008E422A"/>
    <w:rsid w:val="008E56BB"/>
    <w:rsid w:val="008F264B"/>
    <w:rsid w:val="009117E1"/>
    <w:rsid w:val="00912083"/>
    <w:rsid w:val="009140B9"/>
    <w:rsid w:val="0091605E"/>
    <w:rsid w:val="00920E07"/>
    <w:rsid w:val="00921560"/>
    <w:rsid w:val="00924C7B"/>
    <w:rsid w:val="00925A0F"/>
    <w:rsid w:val="00931C3B"/>
    <w:rsid w:val="00933AA6"/>
    <w:rsid w:val="00934CCF"/>
    <w:rsid w:val="0093585C"/>
    <w:rsid w:val="00937057"/>
    <w:rsid w:val="00947567"/>
    <w:rsid w:val="00951391"/>
    <w:rsid w:val="00951EB2"/>
    <w:rsid w:val="00953118"/>
    <w:rsid w:val="00955477"/>
    <w:rsid w:val="00963CF5"/>
    <w:rsid w:val="00967EDA"/>
    <w:rsid w:val="00971689"/>
    <w:rsid w:val="00973E90"/>
    <w:rsid w:val="009838EC"/>
    <w:rsid w:val="009919DA"/>
    <w:rsid w:val="00992822"/>
    <w:rsid w:val="009A02CB"/>
    <w:rsid w:val="009A109A"/>
    <w:rsid w:val="009A5555"/>
    <w:rsid w:val="009C017D"/>
    <w:rsid w:val="009C2E88"/>
    <w:rsid w:val="009D22FC"/>
    <w:rsid w:val="009D4B33"/>
    <w:rsid w:val="009E17A8"/>
    <w:rsid w:val="009F144F"/>
    <w:rsid w:val="00A071B3"/>
    <w:rsid w:val="00A1002B"/>
    <w:rsid w:val="00A11A70"/>
    <w:rsid w:val="00A13D56"/>
    <w:rsid w:val="00A143FD"/>
    <w:rsid w:val="00A20D6F"/>
    <w:rsid w:val="00A2629E"/>
    <w:rsid w:val="00A26F27"/>
    <w:rsid w:val="00A314C9"/>
    <w:rsid w:val="00A35036"/>
    <w:rsid w:val="00A40937"/>
    <w:rsid w:val="00A42B08"/>
    <w:rsid w:val="00A52F2F"/>
    <w:rsid w:val="00A53031"/>
    <w:rsid w:val="00A60102"/>
    <w:rsid w:val="00A630FF"/>
    <w:rsid w:val="00A6330A"/>
    <w:rsid w:val="00A63D9D"/>
    <w:rsid w:val="00A664AE"/>
    <w:rsid w:val="00A710FB"/>
    <w:rsid w:val="00A7547B"/>
    <w:rsid w:val="00A84116"/>
    <w:rsid w:val="00A92D8F"/>
    <w:rsid w:val="00A977D4"/>
    <w:rsid w:val="00AA29CE"/>
    <w:rsid w:val="00AA3834"/>
    <w:rsid w:val="00AA621C"/>
    <w:rsid w:val="00AB4D1C"/>
    <w:rsid w:val="00AC5264"/>
    <w:rsid w:val="00AD3292"/>
    <w:rsid w:val="00AD7E29"/>
    <w:rsid w:val="00AE11F0"/>
    <w:rsid w:val="00AE591A"/>
    <w:rsid w:val="00AE5AB8"/>
    <w:rsid w:val="00AE6F22"/>
    <w:rsid w:val="00AF136A"/>
    <w:rsid w:val="00AF49E5"/>
    <w:rsid w:val="00AF557C"/>
    <w:rsid w:val="00B01F9E"/>
    <w:rsid w:val="00B03D33"/>
    <w:rsid w:val="00B115D7"/>
    <w:rsid w:val="00B14373"/>
    <w:rsid w:val="00B17810"/>
    <w:rsid w:val="00B26E25"/>
    <w:rsid w:val="00B30F34"/>
    <w:rsid w:val="00B341A7"/>
    <w:rsid w:val="00B34927"/>
    <w:rsid w:val="00B47F0E"/>
    <w:rsid w:val="00B54CB7"/>
    <w:rsid w:val="00B65022"/>
    <w:rsid w:val="00B65FC8"/>
    <w:rsid w:val="00B66F39"/>
    <w:rsid w:val="00B71216"/>
    <w:rsid w:val="00B72E63"/>
    <w:rsid w:val="00BA4032"/>
    <w:rsid w:val="00BA5CEB"/>
    <w:rsid w:val="00BC5B01"/>
    <w:rsid w:val="00BC6F55"/>
    <w:rsid w:val="00BC7BE2"/>
    <w:rsid w:val="00BD1D2B"/>
    <w:rsid w:val="00BD67DF"/>
    <w:rsid w:val="00BE30B1"/>
    <w:rsid w:val="00BE3490"/>
    <w:rsid w:val="00BE4419"/>
    <w:rsid w:val="00BE7F05"/>
    <w:rsid w:val="00BF1862"/>
    <w:rsid w:val="00BF4A91"/>
    <w:rsid w:val="00BF6592"/>
    <w:rsid w:val="00C10750"/>
    <w:rsid w:val="00C116C5"/>
    <w:rsid w:val="00C129E2"/>
    <w:rsid w:val="00C17C81"/>
    <w:rsid w:val="00C23198"/>
    <w:rsid w:val="00C2692F"/>
    <w:rsid w:val="00C2724A"/>
    <w:rsid w:val="00C309D1"/>
    <w:rsid w:val="00C334BE"/>
    <w:rsid w:val="00C3462F"/>
    <w:rsid w:val="00C3490B"/>
    <w:rsid w:val="00C36AFE"/>
    <w:rsid w:val="00C41EB4"/>
    <w:rsid w:val="00C45EEB"/>
    <w:rsid w:val="00C57109"/>
    <w:rsid w:val="00C61E57"/>
    <w:rsid w:val="00C81994"/>
    <w:rsid w:val="00C82D50"/>
    <w:rsid w:val="00C919EB"/>
    <w:rsid w:val="00CB5690"/>
    <w:rsid w:val="00CC2D43"/>
    <w:rsid w:val="00CC3662"/>
    <w:rsid w:val="00CC54B4"/>
    <w:rsid w:val="00CD0ACF"/>
    <w:rsid w:val="00CD1191"/>
    <w:rsid w:val="00CE1D03"/>
    <w:rsid w:val="00CF1594"/>
    <w:rsid w:val="00CF208A"/>
    <w:rsid w:val="00CF5527"/>
    <w:rsid w:val="00CF67F4"/>
    <w:rsid w:val="00D00019"/>
    <w:rsid w:val="00D0050D"/>
    <w:rsid w:val="00D01BD2"/>
    <w:rsid w:val="00D0750A"/>
    <w:rsid w:val="00D11169"/>
    <w:rsid w:val="00D122C6"/>
    <w:rsid w:val="00D13DA3"/>
    <w:rsid w:val="00D14E57"/>
    <w:rsid w:val="00D171E2"/>
    <w:rsid w:val="00D17EA5"/>
    <w:rsid w:val="00D24B20"/>
    <w:rsid w:val="00D345B0"/>
    <w:rsid w:val="00D4472E"/>
    <w:rsid w:val="00D52070"/>
    <w:rsid w:val="00D567E2"/>
    <w:rsid w:val="00D56BB0"/>
    <w:rsid w:val="00D56EA8"/>
    <w:rsid w:val="00D637B1"/>
    <w:rsid w:val="00D71587"/>
    <w:rsid w:val="00D7284F"/>
    <w:rsid w:val="00D81D56"/>
    <w:rsid w:val="00D85CE2"/>
    <w:rsid w:val="00D96083"/>
    <w:rsid w:val="00DA0B0F"/>
    <w:rsid w:val="00DA13A8"/>
    <w:rsid w:val="00DA1441"/>
    <w:rsid w:val="00DB3269"/>
    <w:rsid w:val="00DB5AE5"/>
    <w:rsid w:val="00DC598A"/>
    <w:rsid w:val="00DD3A1F"/>
    <w:rsid w:val="00DD3D8A"/>
    <w:rsid w:val="00DE3160"/>
    <w:rsid w:val="00DE3B9E"/>
    <w:rsid w:val="00DE4FAE"/>
    <w:rsid w:val="00DE5B61"/>
    <w:rsid w:val="00DE6CBD"/>
    <w:rsid w:val="00DE79DF"/>
    <w:rsid w:val="00DF7B52"/>
    <w:rsid w:val="00E01F42"/>
    <w:rsid w:val="00E145FC"/>
    <w:rsid w:val="00E166ED"/>
    <w:rsid w:val="00E17DD9"/>
    <w:rsid w:val="00E26E93"/>
    <w:rsid w:val="00E3458C"/>
    <w:rsid w:val="00E35866"/>
    <w:rsid w:val="00E37717"/>
    <w:rsid w:val="00E52F86"/>
    <w:rsid w:val="00E55FA1"/>
    <w:rsid w:val="00E61B3A"/>
    <w:rsid w:val="00E67085"/>
    <w:rsid w:val="00E71032"/>
    <w:rsid w:val="00E846DD"/>
    <w:rsid w:val="00E87C12"/>
    <w:rsid w:val="00E92623"/>
    <w:rsid w:val="00E96638"/>
    <w:rsid w:val="00EA0DB1"/>
    <w:rsid w:val="00EA2FDD"/>
    <w:rsid w:val="00EA3AE4"/>
    <w:rsid w:val="00EB343E"/>
    <w:rsid w:val="00EB5E5B"/>
    <w:rsid w:val="00EC5892"/>
    <w:rsid w:val="00EC6A09"/>
    <w:rsid w:val="00ED1932"/>
    <w:rsid w:val="00EE2E31"/>
    <w:rsid w:val="00EE4D96"/>
    <w:rsid w:val="00EE6A04"/>
    <w:rsid w:val="00EF070A"/>
    <w:rsid w:val="00EF0FF2"/>
    <w:rsid w:val="00F05585"/>
    <w:rsid w:val="00F07FC9"/>
    <w:rsid w:val="00F139E1"/>
    <w:rsid w:val="00F1499D"/>
    <w:rsid w:val="00F1719D"/>
    <w:rsid w:val="00F20312"/>
    <w:rsid w:val="00F21012"/>
    <w:rsid w:val="00F21D13"/>
    <w:rsid w:val="00F27C12"/>
    <w:rsid w:val="00F336A5"/>
    <w:rsid w:val="00F40B43"/>
    <w:rsid w:val="00F4367A"/>
    <w:rsid w:val="00F4735F"/>
    <w:rsid w:val="00F4742F"/>
    <w:rsid w:val="00F52A3F"/>
    <w:rsid w:val="00F52D21"/>
    <w:rsid w:val="00F57729"/>
    <w:rsid w:val="00F57CCB"/>
    <w:rsid w:val="00F6212A"/>
    <w:rsid w:val="00F63185"/>
    <w:rsid w:val="00F64311"/>
    <w:rsid w:val="00F645D3"/>
    <w:rsid w:val="00F65852"/>
    <w:rsid w:val="00F724D6"/>
    <w:rsid w:val="00F727F2"/>
    <w:rsid w:val="00F734D8"/>
    <w:rsid w:val="00F7606D"/>
    <w:rsid w:val="00F835F0"/>
    <w:rsid w:val="00F83EE5"/>
    <w:rsid w:val="00F855DE"/>
    <w:rsid w:val="00FA624C"/>
    <w:rsid w:val="00FA7264"/>
    <w:rsid w:val="00FB70FE"/>
    <w:rsid w:val="00FC03A1"/>
    <w:rsid w:val="00FC69D4"/>
    <w:rsid w:val="00FC7F80"/>
    <w:rsid w:val="00FD34CA"/>
    <w:rsid w:val="00FE3DC7"/>
    <w:rsid w:val="00FE3E0E"/>
    <w:rsid w:val="00FE5E85"/>
    <w:rsid w:val="00FE7AC5"/>
    <w:rsid w:val="00FF064D"/>
    <w:rsid w:val="00FF0767"/>
    <w:rsid w:val="00FF6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DA1441"/>
    <w:pPr>
      <w:ind w:left="720"/>
      <w:contextualSpacing/>
    </w:pPr>
  </w:style>
  <w:style w:type="character" w:customStyle="1" w:styleId="FooterChar">
    <w:name w:val="Footer Char"/>
    <w:basedOn w:val="DefaultParagraphFont"/>
    <w:link w:val="Footer"/>
    <w:uiPriority w:val="99"/>
    <w:rsid w:val="00036F46"/>
    <w:rPr>
      <w:rFonts w:ascii="Arial" w:hAnsi="Arial"/>
      <w:sz w:val="24"/>
      <w:szCs w:val="24"/>
      <w:lang w:eastAsia="en-US"/>
    </w:rPr>
  </w:style>
  <w:style w:type="table" w:styleId="TableGrid">
    <w:name w:val="Table Grid"/>
    <w:basedOn w:val="TableNormal"/>
    <w:rsid w:val="00A31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875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DA1441"/>
    <w:pPr>
      <w:ind w:left="720"/>
      <w:contextualSpacing/>
    </w:pPr>
  </w:style>
  <w:style w:type="character" w:customStyle="1" w:styleId="FooterChar">
    <w:name w:val="Footer Char"/>
    <w:basedOn w:val="DefaultParagraphFont"/>
    <w:link w:val="Footer"/>
    <w:uiPriority w:val="99"/>
    <w:rsid w:val="00036F46"/>
    <w:rPr>
      <w:rFonts w:ascii="Arial" w:hAnsi="Arial"/>
      <w:sz w:val="24"/>
      <w:szCs w:val="24"/>
      <w:lang w:eastAsia="en-US"/>
    </w:rPr>
  </w:style>
  <w:style w:type="table" w:styleId="TableGrid">
    <w:name w:val="Table Grid"/>
    <w:basedOn w:val="TableNormal"/>
    <w:rsid w:val="00A31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875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83851-3DF9-420B-A05E-D821124B5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2D91B027</Template>
  <TotalTime>387</TotalTime>
  <Pages>8</Pages>
  <Words>2283</Words>
  <Characters>12988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jthompson</cp:lastModifiedBy>
  <cp:revision>4</cp:revision>
  <cp:lastPrinted>2015-06-16T14:48:00Z</cp:lastPrinted>
  <dcterms:created xsi:type="dcterms:W3CDTF">2018-07-12T09:15:00Z</dcterms:created>
  <dcterms:modified xsi:type="dcterms:W3CDTF">2018-07-17T12:05:00Z</dcterms:modified>
</cp:coreProperties>
</file>